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F026" w14:textId="77777777" w:rsidR="00774CD6" w:rsidRDefault="00774CD6" w:rsidP="00555964">
      <w:pPr>
        <w:pStyle w:val="Heading10"/>
        <w:keepNext/>
        <w:keepLines/>
        <w:shd w:val="clear" w:color="auto" w:fill="auto"/>
        <w:tabs>
          <w:tab w:val="left" w:pos="1027"/>
        </w:tabs>
        <w:snapToGrid w:val="0"/>
        <w:spacing w:before="120" w:after="120"/>
        <w:ind w:firstLine="0"/>
        <w:rPr>
          <w:rFonts w:asciiTheme="minorHAnsi" w:hAnsiTheme="minorHAnsi" w:cstheme="minorHAnsi"/>
          <w:color w:val="27344C"/>
          <w:sz w:val="22"/>
          <w:szCs w:val="22"/>
          <w:lang w:bidi="en-US"/>
        </w:rPr>
      </w:pPr>
      <w:bookmarkStart w:id="0" w:name="bookmark56"/>
      <w:bookmarkStart w:id="1" w:name="bookmark57"/>
    </w:p>
    <w:p w14:paraId="16D08B82" w14:textId="2F2B8D85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027"/>
        </w:tabs>
        <w:snapToGrid w:val="0"/>
        <w:spacing w:before="120" w:after="120"/>
        <w:ind w:firstLine="0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Anexa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1_Instrucțiuni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completare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formular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cerere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finanțare</w:t>
      </w:r>
      <w:bookmarkEnd w:id="0"/>
      <w:bookmarkEnd w:id="1"/>
      <w:proofErr w:type="spellEnd"/>
    </w:p>
    <w:p w14:paraId="5984BBB6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  <w:lang w:bidi="en-US"/>
        </w:rPr>
      </w:pPr>
    </w:p>
    <w:p w14:paraId="54222BE1" w14:textId="5520C0E4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Prezenta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anexă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cuprinde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indicații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recomandări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către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Solicitant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</w:p>
    <w:p w14:paraId="3DFA2CC2" w14:textId="4D20697A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cererea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nu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decât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secțiunile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menționate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urmează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Secțiunile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neprecizate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expres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prezentul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document sunt considerate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nerelevante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obiectul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Priorității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8 -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completate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cu “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neaplicabil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nu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informații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funcție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instrucțiunea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menționată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).</w:t>
      </w:r>
    </w:p>
    <w:p w14:paraId="4193D609" w14:textId="77777777" w:rsidR="00555964" w:rsidRPr="00261443" w:rsidRDefault="00555964" w:rsidP="00555964">
      <w:pPr>
        <w:shd w:val="pct15" w:color="auto" w:fill="auto"/>
        <w:snapToGrid w:val="0"/>
        <w:spacing w:before="120" w:after="120"/>
        <w:jc w:val="both"/>
        <w:rPr>
          <w:rFonts w:asciiTheme="minorHAnsi" w:hAnsiTheme="minorHAnsi" w:cstheme="minorHAnsi"/>
          <w:b/>
          <w:bCs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Recomandăm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atașarea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documentelor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secțiunea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Solicitant.</w:t>
      </w:r>
    </w:p>
    <w:p w14:paraId="5F86DCA7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</w:p>
    <w:p w14:paraId="53CBD426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2" w:name="bookmark58"/>
      <w:bookmarkStart w:id="3" w:name="bookmark59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Informații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solicitant</w:t>
      </w:r>
      <w:bookmarkEnd w:id="2"/>
      <w:bookmarkEnd w:id="3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ul</w:t>
      </w:r>
      <w:proofErr w:type="spellEnd"/>
    </w:p>
    <w:p w14:paraId="4D969BB5" w14:textId="77777777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998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Funcția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Solicitant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completată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automat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datele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introduse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anterior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rubricile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aferente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datele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identificare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respectiv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Profil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Persoană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Juridică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–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Modificare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Persoană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Juridică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– Date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Generale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/Date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Financiare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Finanțări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/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Structura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Grupului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>.</w:t>
      </w:r>
    </w:p>
    <w:p w14:paraId="25E049CB" w14:textId="250C1C31" w:rsidR="00555964" w:rsidRPr="00261443" w:rsidRDefault="00555964" w:rsidP="00237757">
      <w:pPr>
        <w:pStyle w:val="BodyText"/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Datele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identificare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b/>
          <w:color w:val="27344C"/>
          <w:sz w:val="22"/>
        </w:rPr>
        <w:t>solicitantului</w:t>
      </w:r>
      <w:proofErr w:type="spellEnd"/>
      <w:r w:rsidRPr="00261443">
        <w:rPr>
          <w:rFonts w:asciiTheme="minorHAnsi" w:hAnsiTheme="minorHAnsi" w:cstheme="minorHAnsi"/>
          <w:b/>
          <w:color w:val="27344C"/>
          <w:sz w:val="22"/>
        </w:rPr>
        <w:t xml:space="preserve">, a </w:t>
      </w:r>
      <w:proofErr w:type="spellStart"/>
      <w:r w:rsidRPr="00261443">
        <w:rPr>
          <w:rFonts w:asciiTheme="minorHAnsi" w:hAnsiTheme="minorHAnsi" w:cstheme="minorHAnsi"/>
          <w:b/>
          <w:color w:val="27344C"/>
          <w:sz w:val="22"/>
        </w:rPr>
        <w:t>reprezentantului</w:t>
      </w:r>
      <w:proofErr w:type="spellEnd"/>
      <w:r w:rsidRPr="00261443">
        <w:rPr>
          <w:rFonts w:asciiTheme="minorHAnsi" w:hAnsiTheme="minorHAnsi" w:cstheme="minorHAnsi"/>
          <w:b/>
          <w:color w:val="27344C"/>
          <w:sz w:val="22"/>
        </w:rPr>
        <w:t xml:space="preserve"> legal </w:t>
      </w:r>
      <w:proofErr w:type="spellStart"/>
      <w:r w:rsidRPr="00261443">
        <w:rPr>
          <w:rFonts w:asciiTheme="minorHAnsi" w:hAnsiTheme="minorHAnsi" w:cstheme="minorHAnsi"/>
          <w:b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b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b/>
          <w:color w:val="27344C"/>
          <w:sz w:val="22"/>
        </w:rPr>
        <w:t>sediului</w:t>
      </w:r>
      <w:proofErr w:type="spellEnd"/>
      <w:r w:rsidRPr="00261443">
        <w:rPr>
          <w:rFonts w:asciiTheme="minorHAnsi" w:hAnsiTheme="minorHAnsi" w:cstheme="minorHAnsi"/>
          <w:b/>
          <w:color w:val="27344C"/>
          <w:sz w:val="22"/>
        </w:rPr>
        <w:t xml:space="preserve"> social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obligatorii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fie corelate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documentele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statutare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</w:p>
    <w:p w14:paraId="287BBED3" w14:textId="77777777" w:rsidR="00555964" w:rsidRPr="00261443" w:rsidRDefault="00555964" w:rsidP="00237757">
      <w:pPr>
        <w:pStyle w:val="BodyText"/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Date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financiare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,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s</w:t>
      </w:r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doar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datele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identificare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eastAsia="Calibri" w:hAnsiTheme="minorHAnsi" w:cstheme="minorHAnsi"/>
          <w:b/>
          <w:color w:val="27344C"/>
          <w:sz w:val="22"/>
        </w:rPr>
        <w:t>conturilor</w:t>
      </w:r>
      <w:proofErr w:type="spellEnd"/>
      <w:r w:rsidRPr="00261443">
        <w:rPr>
          <w:rFonts w:asciiTheme="minorHAnsi" w:eastAsia="Calibri" w:hAnsiTheme="minorHAnsi" w:cstheme="minorHAnsi"/>
          <w:b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b/>
          <w:color w:val="27344C"/>
          <w:sz w:val="22"/>
        </w:rPr>
        <w:t>bancare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preconizează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a fi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utilizate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. </w:t>
      </w:r>
    </w:p>
    <w:p w14:paraId="2E546278" w14:textId="3D2C648F" w:rsidR="00555964" w:rsidRPr="00261443" w:rsidRDefault="00555964" w:rsidP="00237757">
      <w:pPr>
        <w:pStyle w:val="BodyText"/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Exerciții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financiare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informațiile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situațiile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financiare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anuale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aferente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solicitantului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depuse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la ANAF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ultimii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3 ani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fiscali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anteriori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depunerii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eastAsia="Calibr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eastAsia="Calibri" w:hAnsiTheme="minorHAnsi" w:cstheme="minorHAnsi"/>
          <w:color w:val="27344C"/>
          <w:sz w:val="22"/>
        </w:rPr>
        <w:t>.</w:t>
      </w:r>
    </w:p>
    <w:p w14:paraId="765269CF" w14:textId="73482F0C" w:rsidR="00555964" w:rsidRPr="00261443" w:rsidRDefault="00555964" w:rsidP="00237757">
      <w:pPr>
        <w:pStyle w:val="BodyText"/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Finanțări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,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informații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privire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nerambursabilă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fonduri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similare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incluse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constituie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</w:p>
    <w:p w14:paraId="52B230B2" w14:textId="77777777" w:rsidR="00555964" w:rsidRPr="00261443" w:rsidRDefault="00555964" w:rsidP="00237757">
      <w:pPr>
        <w:pStyle w:val="BodyText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Rubrica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Asistența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acordată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anterior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concretizate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deja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aflate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derulare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). </w:t>
      </w:r>
    </w:p>
    <w:p w14:paraId="1902F84E" w14:textId="77777777" w:rsidR="00555964" w:rsidRPr="00261443" w:rsidRDefault="00555964" w:rsidP="00237757">
      <w:pPr>
        <w:pStyle w:val="BodyText"/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Rubrica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solicitată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aflate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curs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evaluare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altele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decât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).</w:t>
      </w:r>
    </w:p>
    <w:p w14:paraId="21FC816F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4" w:name="bookmark60"/>
      <w:bookmarkStart w:id="5" w:name="bookmark61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Atribute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proiect</w:t>
      </w:r>
      <w:bookmarkEnd w:id="4"/>
      <w:bookmarkEnd w:id="5"/>
      <w:proofErr w:type="spellEnd"/>
    </w:p>
    <w:p w14:paraId="6EFE4288" w14:textId="77777777" w:rsidR="00555964" w:rsidRPr="00261443" w:rsidRDefault="00555964" w:rsidP="00237757">
      <w:pPr>
        <w:pStyle w:val="BodyText"/>
        <w:widowControl w:val="0"/>
        <w:numPr>
          <w:ilvl w:val="0"/>
          <w:numId w:val="9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Tip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selecta din nomenclator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tipul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Proiecte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”. </w:t>
      </w:r>
    </w:p>
    <w:p w14:paraId="2B4B58FD" w14:textId="77777777" w:rsidR="00555964" w:rsidRPr="00261443" w:rsidRDefault="00555964" w:rsidP="00237757">
      <w:pPr>
        <w:pStyle w:val="BodyText"/>
        <w:widowControl w:val="0"/>
        <w:numPr>
          <w:ilvl w:val="0"/>
          <w:numId w:val="9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 xml:space="preserve">La 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restul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”Nu”.</w:t>
      </w:r>
    </w:p>
    <w:p w14:paraId="04A1A5E0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6" w:name="bookmark62"/>
      <w:bookmarkStart w:id="7" w:name="bookmark63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Responsabil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proiect</w:t>
      </w:r>
      <w:bookmarkEnd w:id="6"/>
      <w:bookmarkEnd w:id="7"/>
      <w:proofErr w:type="spellEnd"/>
    </w:p>
    <w:p w14:paraId="48652C2F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  <w:lang w:bidi="en-US"/>
        </w:rPr>
      </w:pP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informațiile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responsabilul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.</w:t>
      </w:r>
    </w:p>
    <w:p w14:paraId="6C5CEE8C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Persoana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de contact</w:t>
      </w:r>
    </w:p>
    <w:p w14:paraId="44386B24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  <w:lang w:bidi="en-US"/>
        </w:rPr>
      </w:pP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informațiile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persoana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de contact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.</w:t>
      </w:r>
    </w:p>
    <w:p w14:paraId="43732EB4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8" w:name="bookmark64"/>
      <w:bookmarkStart w:id="9" w:name="bookmark65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Capacitate solicitant</w:t>
      </w:r>
      <w:bookmarkEnd w:id="8"/>
      <w:bookmarkEnd w:id="9"/>
    </w:p>
    <w:p w14:paraId="34D37513" w14:textId="4D1A5E67" w:rsidR="00555964" w:rsidRPr="00261443" w:rsidRDefault="00555964" w:rsidP="00237757">
      <w:pPr>
        <w:pStyle w:val="BodyText"/>
        <w:widowControl w:val="0"/>
        <w:numPr>
          <w:ilvl w:val="0"/>
          <w:numId w:val="10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Sursa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de co-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: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Venituri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autorității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F3F30E5" w14:textId="3BF5F2BD" w:rsidR="00555964" w:rsidRPr="00261443" w:rsidRDefault="00555964" w:rsidP="00237757">
      <w:pPr>
        <w:pStyle w:val="BodyText"/>
        <w:widowControl w:val="0"/>
        <w:numPr>
          <w:ilvl w:val="0"/>
          <w:numId w:val="10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lastRenderedPageBreak/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”Capacitate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administrativ</w:t>
      </w:r>
      <w:r w:rsidR="00084A33">
        <w:rPr>
          <w:rFonts w:asciiTheme="minorHAnsi" w:hAnsiTheme="minorHAnsi" w:cstheme="minorHAnsi"/>
          <w:color w:val="27344C"/>
          <w:sz w:val="22"/>
        </w:rPr>
        <w:t>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succint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ansamblul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resurselor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umane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materiale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care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dispune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ADR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București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-Ilfov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 BI 2021-2027. </w:t>
      </w:r>
    </w:p>
    <w:p w14:paraId="2643969D" w14:textId="09923313" w:rsidR="00555964" w:rsidRPr="00084A33" w:rsidRDefault="00555964" w:rsidP="00084A33">
      <w:pPr>
        <w:pStyle w:val="BodyText"/>
        <w:widowControl w:val="0"/>
        <w:numPr>
          <w:ilvl w:val="0"/>
          <w:numId w:val="10"/>
        </w:numPr>
        <w:shd w:val="clear" w:color="auto" w:fill="FFFFFF"/>
        <w:tabs>
          <w:tab w:val="left" w:pos="1426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”Capacitate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financiară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„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capacitatea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asigura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resursele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financiare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implementării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. Se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specifică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dacă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solicitantul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înregistrat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nu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084A33">
        <w:rPr>
          <w:rFonts w:asciiTheme="minorHAnsi" w:hAnsiTheme="minorHAnsi" w:cstheme="minorHAnsi"/>
          <w:color w:val="27344C"/>
          <w:sz w:val="22"/>
        </w:rPr>
        <w:t>scopuri</w:t>
      </w:r>
      <w:proofErr w:type="spellEnd"/>
      <w:r w:rsidRPr="00084A33">
        <w:rPr>
          <w:rFonts w:asciiTheme="minorHAnsi" w:hAnsiTheme="minorHAnsi" w:cstheme="minorHAnsi"/>
          <w:color w:val="27344C"/>
          <w:sz w:val="22"/>
        </w:rPr>
        <w:t xml:space="preserve"> de TVA.</w:t>
      </w:r>
    </w:p>
    <w:p w14:paraId="09F5BB36" w14:textId="4AD16A05" w:rsidR="00555964" w:rsidRPr="00261443" w:rsidRDefault="00555964" w:rsidP="00237757">
      <w:pPr>
        <w:pStyle w:val="BodyText"/>
        <w:widowControl w:val="0"/>
        <w:numPr>
          <w:ilvl w:val="0"/>
          <w:numId w:val="10"/>
        </w:numPr>
        <w:shd w:val="clear" w:color="auto" w:fill="FFFFFF"/>
        <w:tabs>
          <w:tab w:val="left" w:pos="1426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Capacitatea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”: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solicitantul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experiența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acumulată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perioadele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programare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anterioare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programelor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operaționale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nivel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regional.</w:t>
      </w:r>
    </w:p>
    <w:p w14:paraId="331BC69B" w14:textId="3D867A18" w:rsidR="00555964" w:rsidRPr="00261443" w:rsidRDefault="00555964" w:rsidP="00237757">
      <w:pPr>
        <w:pStyle w:val="BodyText"/>
        <w:widowControl w:val="0"/>
        <w:numPr>
          <w:ilvl w:val="0"/>
          <w:numId w:val="10"/>
        </w:numPr>
        <w:shd w:val="clear" w:color="auto" w:fill="FFFFFF"/>
        <w:tabs>
          <w:tab w:val="left" w:pos="1426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Capacitatea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juridică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”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indica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statutul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juridic 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Agenției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Dezvoltare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Regională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București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-Ilfov, conform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legislației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vigoare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aplicabile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4B9F06CB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10" w:name="bookmark66"/>
      <w:bookmarkStart w:id="11" w:name="bookmark67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Localizare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proiect</w:t>
      </w:r>
      <w:bookmarkEnd w:id="10"/>
      <w:bookmarkEnd w:id="11"/>
      <w:proofErr w:type="spellEnd"/>
    </w:p>
    <w:p w14:paraId="7C4B03A7" w14:textId="2016430C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identificare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locației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locația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derula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ED47576" w14:textId="6B06BB44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întâi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județul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apoi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localitatea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sistemul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atribui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automat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dezvoltare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unde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propus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7AAEFEF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Obiective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proiect</w:t>
      </w:r>
      <w:proofErr w:type="spellEnd"/>
    </w:p>
    <w:p w14:paraId="63C362E9" w14:textId="77777777" w:rsidR="00555964" w:rsidRPr="00261443" w:rsidRDefault="00555964" w:rsidP="00237757">
      <w:pPr>
        <w:pStyle w:val="BodyText"/>
        <w:widowControl w:val="0"/>
        <w:numPr>
          <w:ilvl w:val="0"/>
          <w:numId w:val="11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general 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scopul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prezenta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general 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59B68299" w14:textId="77777777" w:rsidR="00555964" w:rsidRPr="00261443" w:rsidRDefault="00555964" w:rsidP="00237757">
      <w:pPr>
        <w:pStyle w:val="BodyText"/>
        <w:widowControl w:val="0"/>
        <w:numPr>
          <w:ilvl w:val="0"/>
          <w:numId w:val="11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formula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fie formulate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clar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strânsă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corelare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rezultatele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prevăzute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obține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49BD0E62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12" w:name="bookmark70"/>
      <w:bookmarkStart w:id="13" w:name="bookmark71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Context</w:t>
      </w:r>
      <w:bookmarkEnd w:id="12"/>
      <w:bookmarkEnd w:id="13"/>
    </w:p>
    <w:p w14:paraId="74DDA788" w14:textId="04CD1E6B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succint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contextul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instituțional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legislativ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procedural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căruia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solicitantul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desfășura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stabilite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Programul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Regional </w:t>
      </w:r>
      <w:proofErr w:type="spellStart"/>
      <w:r w:rsidR="00237757" w:rsidRPr="00261443">
        <w:rPr>
          <w:rFonts w:asciiTheme="minorHAnsi" w:hAnsiTheme="minorHAnsi" w:cstheme="minorHAnsi"/>
          <w:color w:val="27344C"/>
          <w:sz w:val="22"/>
        </w:rPr>
        <w:t>București</w:t>
      </w:r>
      <w:proofErr w:type="spellEnd"/>
      <w:r w:rsidR="00237757" w:rsidRPr="00261443">
        <w:rPr>
          <w:rFonts w:asciiTheme="minorHAnsi" w:hAnsiTheme="minorHAnsi" w:cstheme="minorHAnsi"/>
          <w:color w:val="27344C"/>
          <w:sz w:val="22"/>
        </w:rPr>
        <w:t>-Ilfov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2021-2027.</w:t>
      </w:r>
    </w:p>
    <w:p w14:paraId="7670F5C1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14" w:name="bookmark72"/>
      <w:bookmarkStart w:id="15" w:name="bookmark73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Justificare</w:t>
      </w:r>
      <w:bookmarkEnd w:id="14"/>
      <w:bookmarkEnd w:id="15"/>
      <w:proofErr w:type="spellEnd"/>
    </w:p>
    <w:p w14:paraId="6690D5F0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vederea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justificării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prezenta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succint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fundamentează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5D6C3685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16" w:name="bookmark74"/>
      <w:bookmarkStart w:id="17" w:name="bookmark75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Grup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țintă</w:t>
      </w:r>
      <w:bookmarkEnd w:id="16"/>
      <w:bookmarkEnd w:id="17"/>
      <w:proofErr w:type="spellEnd"/>
    </w:p>
    <w:p w14:paraId="1B748075" w14:textId="3945F86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indica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grupurile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entitățile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beneficia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rezultatele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direct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indirect.</w:t>
      </w:r>
      <w:r w:rsidR="00237757" w:rsidRPr="00261443">
        <w:rPr>
          <w:rFonts w:asciiTheme="minorHAnsi" w:hAnsiTheme="minorHAnsi" w:cstheme="minorHAnsi"/>
          <w:color w:val="27344C"/>
          <w:sz w:val="22"/>
        </w:rPr>
        <w:t xml:space="preserve"> </w:t>
      </w:r>
    </w:p>
    <w:p w14:paraId="63E03837" w14:textId="77777777" w:rsidR="00237757" w:rsidRPr="00261443" w:rsidRDefault="00237757" w:rsidP="00237757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conformitate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Programul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Regional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București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-Ilfov,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principalele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grupuri-țintă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Prioritatea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8 sunt:</w:t>
      </w:r>
    </w:p>
    <w:p w14:paraId="2BD99356" w14:textId="504728D2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>ADR BI;</w:t>
      </w:r>
    </w:p>
    <w:p w14:paraId="54F61FA9" w14:textId="75F79E95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Membrii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structurile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parteneriale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 BI (CM PR,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alte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structuri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parteneriale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dezvoltate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baza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Art.8 (2)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Regulamentul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CE No 1060/etc.);</w:t>
      </w:r>
    </w:p>
    <w:p w14:paraId="012972EF" w14:textId="0305A842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Potențialii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beneficiari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partenerii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lor;</w:t>
      </w:r>
    </w:p>
    <w:p w14:paraId="2E2AFAD0" w14:textId="31051904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Alti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membri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ecosistemului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firme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consultanta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,,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institutii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desfasoara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activitati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au impact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asupra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implmentarii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</w:t>
      </w:r>
    </w:p>
    <w:p w14:paraId="41E4DC0C" w14:textId="5223C1BE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Societatea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civilă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organizații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non-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guvernamentale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03DA9F94" w14:textId="7C7DC368" w:rsidR="00237757" w:rsidRPr="00261443" w:rsidRDefault="00237757" w:rsidP="00237757">
      <w:pPr>
        <w:pStyle w:val="BodyText"/>
        <w:numPr>
          <w:ilvl w:val="0"/>
          <w:numId w:val="19"/>
        </w:numPr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larg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75289913" w14:textId="7FBE5D65" w:rsidR="00237757" w:rsidRPr="00261443" w:rsidRDefault="00237757" w:rsidP="00237757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primului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apel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grupul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țintă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direct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reprezentat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ADRBI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precis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personalul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AM PR BI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personalul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ADRBI care 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atributii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programului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) precum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membrii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structurile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lastRenderedPageBreak/>
        <w:t>parteneriale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(CM PR BI)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toate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celelelalte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grupuri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tinta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indirect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masurile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comunicare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). </w:t>
      </w:r>
    </w:p>
    <w:p w14:paraId="5F70D0CF" w14:textId="336C135A" w:rsidR="00555964" w:rsidRPr="00261443" w:rsidRDefault="00555964" w:rsidP="0005550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Sustenabilitate</w:t>
      </w:r>
      <w:proofErr w:type="spellEnd"/>
    </w:p>
    <w:p w14:paraId="060779E8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b/>
          <w:bCs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”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Neaplicabil</w:t>
      </w:r>
      <w:proofErr w:type="spellEnd"/>
      <w:proofErr w:type="gram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”.</w:t>
      </w:r>
    </w:p>
    <w:p w14:paraId="67DC718D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18" w:name="bookmark76"/>
      <w:bookmarkStart w:id="19" w:name="bookmark77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Relevanță</w:t>
      </w:r>
      <w:bookmarkEnd w:id="18"/>
      <w:bookmarkEnd w:id="19"/>
      <w:proofErr w:type="spellEnd"/>
    </w:p>
    <w:p w14:paraId="0EFD17E0" w14:textId="416817EA" w:rsidR="00555964" w:rsidRPr="00261443" w:rsidRDefault="00555964" w:rsidP="00237757">
      <w:pPr>
        <w:pStyle w:val="BodyText"/>
        <w:widowControl w:val="0"/>
        <w:numPr>
          <w:ilvl w:val="0"/>
          <w:numId w:val="12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="00055507" w:rsidRPr="00261443">
        <w:rPr>
          <w:rFonts w:asciiTheme="minorHAnsi" w:hAnsiTheme="minorHAnsi" w:cstheme="minorHAnsi"/>
          <w:color w:val="27344C"/>
          <w:sz w:val="22"/>
        </w:rPr>
        <w:t>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Referitoare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="00055507" w:rsidRPr="00261443">
        <w:rPr>
          <w:rFonts w:asciiTheme="minorHAnsi" w:hAnsiTheme="minorHAnsi" w:cstheme="minorHAnsi"/>
          <w:color w:val="27344C"/>
          <w:sz w:val="22"/>
        </w:rPr>
        <w:t>”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include o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scurtă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contribuie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atingerea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obiectivelor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rezultatelor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preconizate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acestora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</w:p>
    <w:p w14:paraId="1E89A433" w14:textId="77777777" w:rsidR="00555964" w:rsidRPr="00261443" w:rsidRDefault="00555964" w:rsidP="00237757">
      <w:pPr>
        <w:pStyle w:val="BodyText"/>
        <w:widowControl w:val="0"/>
        <w:numPr>
          <w:ilvl w:val="0"/>
          <w:numId w:val="12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Neaplicabil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>”.</w:t>
      </w:r>
    </w:p>
    <w:p w14:paraId="216CF85E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20" w:name="bookmark78"/>
      <w:bookmarkStart w:id="21" w:name="bookmark79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Riscuri</w:t>
      </w:r>
      <w:bookmarkEnd w:id="20"/>
      <w:bookmarkEnd w:id="21"/>
      <w:proofErr w:type="spellEnd"/>
    </w:p>
    <w:p w14:paraId="6C80FEB2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informațiile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risc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identificat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măsurile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prevenție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atenuare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riscului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BB7D69F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22" w:name="bookmark80"/>
      <w:bookmarkStart w:id="23" w:name="bookmark81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Principii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orizontale</w:t>
      </w:r>
      <w:bookmarkEnd w:id="22"/>
      <w:bookmarkEnd w:id="23"/>
      <w:proofErr w:type="spellEnd"/>
    </w:p>
    <w:p w14:paraId="46B1513A" w14:textId="77777777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154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descrie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modul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care sunt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respectate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obligațiile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prevăzute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legislația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specifică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aplicabilă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respectiv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faptul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implementat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conformitate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legislația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UE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națională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domeniul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achizițiilor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publice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domeniile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egalității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șanse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, de gen/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nediscriminare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/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accesibilitate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dezvoltare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durabilă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protecția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mediului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. </w:t>
      </w:r>
    </w:p>
    <w:p w14:paraId="7CA72145" w14:textId="77777777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154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  <w:highlight w:val="yellow"/>
        </w:rPr>
      </w:pP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acest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sens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completa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informații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câmpurile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:</w:t>
      </w:r>
    </w:p>
    <w:p w14:paraId="32B45E3C" w14:textId="77777777" w:rsidR="00555964" w:rsidRPr="00261443" w:rsidRDefault="00555964" w:rsidP="00237757">
      <w:pPr>
        <w:pStyle w:val="BodyText"/>
        <w:widowControl w:val="0"/>
        <w:numPr>
          <w:ilvl w:val="0"/>
          <w:numId w:val="1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Șanse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egale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: </w:t>
      </w:r>
    </w:p>
    <w:p w14:paraId="4C8FFB8A" w14:textId="77777777" w:rsidR="00555964" w:rsidRPr="00261443" w:rsidRDefault="00555964" w:rsidP="00237757">
      <w:pPr>
        <w:pStyle w:val="BodyText"/>
        <w:widowControl w:val="0"/>
        <w:numPr>
          <w:ilvl w:val="0"/>
          <w:numId w:val="5"/>
        </w:numPr>
        <w:shd w:val="clear" w:color="auto" w:fill="FFFFFF"/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Egalitate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gen.</w:t>
      </w:r>
    </w:p>
    <w:p w14:paraId="4AB1AB82" w14:textId="77777777" w:rsidR="00555964" w:rsidRPr="00261443" w:rsidRDefault="00555964" w:rsidP="00237757">
      <w:pPr>
        <w:pStyle w:val="BodyText"/>
        <w:widowControl w:val="0"/>
        <w:numPr>
          <w:ilvl w:val="0"/>
          <w:numId w:val="5"/>
        </w:numPr>
        <w:shd w:val="clear" w:color="auto" w:fill="FFFFFF"/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Nediscriminare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1D0D73EB" w14:textId="77777777" w:rsidR="00555964" w:rsidRPr="00261443" w:rsidRDefault="00555964" w:rsidP="00237757">
      <w:pPr>
        <w:pStyle w:val="BodyText"/>
        <w:widowControl w:val="0"/>
        <w:numPr>
          <w:ilvl w:val="0"/>
          <w:numId w:val="5"/>
        </w:numPr>
        <w:shd w:val="clear" w:color="auto" w:fill="FFFFFF"/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Accesibilitate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persoane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dizabilități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824C21C" w14:textId="77777777" w:rsidR="00555964" w:rsidRPr="00261443" w:rsidRDefault="00555964" w:rsidP="00237757">
      <w:pPr>
        <w:pStyle w:val="BodyText"/>
        <w:widowControl w:val="0"/>
        <w:numPr>
          <w:ilvl w:val="0"/>
          <w:numId w:val="13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Dezvoltare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durabilă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color w:val="27344C"/>
          <w:sz w:val="22"/>
        </w:rPr>
        <w:t>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secțiune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aplicabilă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doar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investiții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modernizarea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sediilor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):</w:t>
      </w:r>
    </w:p>
    <w:p w14:paraId="25376771" w14:textId="77777777" w:rsidR="00555964" w:rsidRPr="00261443" w:rsidRDefault="00555964" w:rsidP="00237757">
      <w:pPr>
        <w:pStyle w:val="BodyText"/>
        <w:widowControl w:val="0"/>
        <w:numPr>
          <w:ilvl w:val="0"/>
          <w:numId w:val="6"/>
        </w:numPr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Poluatorul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plătește</w:t>
      </w:r>
      <w:proofErr w:type="spellEnd"/>
    </w:p>
    <w:p w14:paraId="59882787" w14:textId="77777777" w:rsidR="00555964" w:rsidRPr="00261443" w:rsidRDefault="00555964" w:rsidP="00237757">
      <w:pPr>
        <w:pStyle w:val="BodyText"/>
        <w:widowControl w:val="0"/>
        <w:numPr>
          <w:ilvl w:val="0"/>
          <w:numId w:val="6"/>
        </w:numPr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Protecția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biodiversității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576138D6" w14:textId="77777777" w:rsidR="00555964" w:rsidRPr="00261443" w:rsidRDefault="00555964" w:rsidP="00237757">
      <w:pPr>
        <w:pStyle w:val="BodyText"/>
        <w:widowControl w:val="0"/>
        <w:numPr>
          <w:ilvl w:val="0"/>
          <w:numId w:val="6"/>
        </w:numPr>
        <w:shd w:val="clear" w:color="auto" w:fill="FFFFFF"/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Utilizarea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eficientă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resurselor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47CE5EEE" w14:textId="77777777" w:rsidR="00555964" w:rsidRPr="00261443" w:rsidRDefault="00555964" w:rsidP="00237757">
      <w:pPr>
        <w:pStyle w:val="BodyText"/>
        <w:widowControl w:val="0"/>
        <w:numPr>
          <w:ilvl w:val="0"/>
          <w:numId w:val="6"/>
        </w:numPr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Atenuarea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adaptarea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schimbările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climatice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531CAD99" w14:textId="77777777" w:rsidR="00555964" w:rsidRPr="00261443" w:rsidRDefault="00555964" w:rsidP="00237757">
      <w:pPr>
        <w:pStyle w:val="BodyText"/>
        <w:widowControl w:val="0"/>
        <w:numPr>
          <w:ilvl w:val="0"/>
          <w:numId w:val="6"/>
        </w:numPr>
        <w:snapToGrid w:val="0"/>
        <w:spacing w:before="120"/>
        <w:ind w:left="567" w:hanging="283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Reziliența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dezastre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 </w:t>
      </w:r>
    </w:p>
    <w:p w14:paraId="0E3C97F5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24" w:name="bookmark82"/>
      <w:bookmarkStart w:id="25" w:name="bookmark83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Indicatori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prestabiliți</w:t>
      </w:r>
      <w:bookmarkEnd w:id="24"/>
      <w:bookmarkEnd w:id="25"/>
      <w:proofErr w:type="spellEnd"/>
    </w:p>
    <w:p w14:paraId="459E4F85" w14:textId="3DC4A684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contribuie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realizarea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indicatorilor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prestabiliți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realizare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>Priorității</w:t>
      </w:r>
      <w:proofErr w:type="spellEnd"/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8</w:t>
      </w: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_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Pr="00261443">
        <w:rPr>
          <w:rFonts w:asciiTheme="minorHAnsi" w:hAnsiTheme="minorHAnsi" w:cstheme="minorHAnsi"/>
          <w:color w:val="27344C"/>
          <w:sz w:val="22"/>
          <w:lang w:bidi="en-US"/>
        </w:rPr>
        <w:t>a PR</w:t>
      </w:r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BI</w:t>
      </w:r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2021-2027: </w:t>
      </w:r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RSO 14S14, RSO 14S15, RSO 14S16 </w:t>
      </w:r>
      <w:proofErr w:type="spellStart"/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>și</w:t>
      </w:r>
      <w:proofErr w:type="spellEnd"/>
      <w:r w:rsidR="00055507"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r w:rsidR="00055507" w:rsidRPr="00084A33">
        <w:rPr>
          <w:rFonts w:asciiTheme="minorHAnsi" w:hAnsiTheme="minorHAnsi" w:cstheme="minorHAnsi"/>
          <w:color w:val="27344C"/>
          <w:sz w:val="22"/>
          <w:lang w:bidi="en-US"/>
        </w:rPr>
        <w:t>RSO 14S17.</w:t>
      </w:r>
    </w:p>
    <w:p w14:paraId="655D8006" w14:textId="3C34E454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lang w:bidi="en-US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</w:t>
      </w:r>
      <w:r w:rsidRPr="00261443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 xml:space="preserve">indicator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>prestabilit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 xml:space="preserve"> de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>realizare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lang w:bidi="en-US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:</w:t>
      </w:r>
    </w:p>
    <w:p w14:paraId="4F0556CC" w14:textId="77777777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măsură</w:t>
      </w:r>
      <w:proofErr w:type="spellEnd"/>
    </w:p>
    <w:p w14:paraId="1ADFAA2D" w14:textId="77777777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referință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=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final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</w:p>
    <w:p w14:paraId="11904090" w14:textId="4B77546E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țintă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=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="00BF1157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BF1157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="00BF1157">
        <w:rPr>
          <w:rFonts w:asciiTheme="minorHAnsi" w:hAnsiTheme="minorHAnsi" w:cstheme="minorHAnsi"/>
          <w:color w:val="27344C"/>
          <w:sz w:val="22"/>
        </w:rPr>
        <w:t xml:space="preserve"> a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indicatorului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</w:p>
    <w:p w14:paraId="6609A156" w14:textId="77777777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femei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nu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</w:p>
    <w:p w14:paraId="1A7F55F5" w14:textId="77777777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lastRenderedPageBreak/>
        <w:t>bărbați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nu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,</w:t>
      </w:r>
    </w:p>
    <w:p w14:paraId="22115932" w14:textId="1B4ED2CC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regiuni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dezvoltate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</w:p>
    <w:p w14:paraId="0E9787B1" w14:textId="6611074B" w:rsidR="00555964" w:rsidRPr="00261443" w:rsidRDefault="00555964" w:rsidP="00237757">
      <w:pPr>
        <w:pStyle w:val="BodyText"/>
        <w:widowControl w:val="0"/>
        <w:numPr>
          <w:ilvl w:val="0"/>
          <w:numId w:val="14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regiuni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puțin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dezvoltate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="006155DC">
        <w:rPr>
          <w:rFonts w:asciiTheme="minorHAnsi" w:hAnsiTheme="minorHAnsi" w:cstheme="minorHAnsi"/>
          <w:color w:val="27344C"/>
          <w:sz w:val="22"/>
        </w:rPr>
        <w:t>–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="006155DC">
        <w:rPr>
          <w:rFonts w:asciiTheme="minorHAnsi" w:hAnsiTheme="minorHAnsi" w:cstheme="minorHAnsi"/>
          <w:color w:val="27344C"/>
          <w:sz w:val="22"/>
        </w:rPr>
        <w:t xml:space="preserve">nu 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</w:p>
    <w:p w14:paraId="663D5170" w14:textId="0BA4787C" w:rsidR="00555964" w:rsidRPr="00261443" w:rsidRDefault="00555964" w:rsidP="00555964">
      <w:pPr>
        <w:shd w:val="pct15" w:color="auto" w:fill="auto"/>
        <w:snapToGrid w:val="0"/>
        <w:spacing w:before="120" w:after="120"/>
        <w:jc w:val="both"/>
        <w:rPr>
          <w:rFonts w:asciiTheme="minorHAnsi" w:hAnsiTheme="minorHAnsi" w:cstheme="minorHAnsi"/>
          <w:b/>
          <w:bCs/>
          <w:color w:val="27344C"/>
          <w:sz w:val="22"/>
        </w:rPr>
      </w:pPr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Nu se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acceptă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identificarea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cuantificarea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, </w:t>
      </w:r>
      <w:proofErr w:type="gram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</w:t>
      </w:r>
      <w:proofErr w:type="gram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altor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indicatori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afara </w:t>
      </w:r>
      <w:r w:rsidR="00C811D2" w:rsidRPr="00261443">
        <w:rPr>
          <w:rFonts w:asciiTheme="minorHAnsi" w:hAnsiTheme="minorHAnsi" w:cstheme="minorHAnsi"/>
          <w:b/>
          <w:bCs/>
          <w:color w:val="27344C"/>
          <w:sz w:val="22"/>
          <w:lang w:val="ro-RO" w:eastAsia="en-GB"/>
        </w:rPr>
        <w:t>celor identificați în Ghidul Solicitantului la secțiunea</w:t>
      </w:r>
      <w:r w:rsidR="00C11D8E" w:rsidRPr="00261443">
        <w:rPr>
          <w:rFonts w:asciiTheme="minorHAnsi" w:hAnsiTheme="minorHAnsi" w:cstheme="minorHAnsi"/>
          <w:sz w:val="22"/>
        </w:rPr>
        <w:t xml:space="preserve"> </w:t>
      </w:r>
      <w:r w:rsidR="00C11D8E" w:rsidRPr="00261443">
        <w:rPr>
          <w:rFonts w:asciiTheme="minorHAnsi" w:hAnsiTheme="minorHAnsi" w:cstheme="minorHAnsi"/>
          <w:b/>
          <w:bCs/>
          <w:color w:val="27344C"/>
          <w:sz w:val="22"/>
          <w:lang w:val="ro-RO" w:eastAsia="en-GB"/>
        </w:rPr>
        <w:t>3.8. Indicatori</w:t>
      </w: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.</w:t>
      </w:r>
    </w:p>
    <w:p w14:paraId="596A221C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  <w:lang w:bidi="en-US"/>
        </w:rPr>
      </w:pPr>
      <w:bookmarkStart w:id="26" w:name="bookmark84"/>
      <w:bookmarkStart w:id="27" w:name="bookmark85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Indicatori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suplimentari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proiect</w:t>
      </w:r>
      <w:proofErr w:type="spellEnd"/>
    </w:p>
    <w:p w14:paraId="57AB5FA4" w14:textId="317F64F8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129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Întrucât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sistemul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informatic MySMIS2014/SMIS2014 nu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există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Indicatori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etapă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secțiune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obligatorie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sistemul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informatic MySMIS2021/SMIS2021,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vederea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transferului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informațiilor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din MySMIS2014/SMIS2014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MySMI2021/SMIS2021,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r w:rsidR="00084A3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”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Indicatori</w:t>
      </w:r>
      <w:proofErr w:type="spellEnd"/>
      <w:proofErr w:type="gram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suplimentari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</w:t>
      </w:r>
      <w:proofErr w:type="spellEnd"/>
      <w:r w:rsidR="00084A3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”</w:t>
      </w:r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câmpul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Indicatori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suplimentari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realizare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din MySMIS2014/SMIS2014 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completa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Indicatorii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etapă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aferenți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proiectului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în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conformitate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informațiile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din </w:t>
      </w:r>
      <w:proofErr w:type="spellStart"/>
      <w:r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Anexa</w:t>
      </w:r>
      <w:proofErr w:type="spellEnd"/>
      <w:r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r w:rsidR="00774CD6"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1</w:t>
      </w:r>
      <w:r w:rsidR="00084A3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0</w:t>
      </w:r>
      <w:r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_Plan de </w:t>
      </w:r>
      <w:proofErr w:type="spellStart"/>
      <w:r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monitorizare</w:t>
      </w:r>
      <w:proofErr w:type="spellEnd"/>
      <w:r w:rsidRPr="00774CD6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.</w:t>
      </w:r>
    </w:p>
    <w:p w14:paraId="6480FDC1" w14:textId="77777777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129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Câmpul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Indicatorii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suplimentari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rezultat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nu 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completează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.</w:t>
      </w:r>
    </w:p>
    <w:p w14:paraId="4393B386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  <w:lang w:bidi="en-US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 xml:space="preserve"> Plan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  <w:lang w:bidi="en-US"/>
        </w:rPr>
        <w:t>achiziții</w:t>
      </w:r>
      <w:bookmarkEnd w:id="26"/>
      <w:bookmarkEnd w:id="27"/>
      <w:proofErr w:type="spellEnd"/>
    </w:p>
    <w:p w14:paraId="145AF06D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legislația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națională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europeană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vigoare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privind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Principiile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aplicate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procedura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atribuire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sunt: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nediscriminare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tratament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egal,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recunoaștere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reciprocă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transparență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proporționalitate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eficiența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utilizării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fondurilor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asumarea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răspunderii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7FC649C7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Titlu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–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titlul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procedurii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</w:p>
    <w:p w14:paraId="750962BB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sugestiv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astfel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încât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evaluarea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poată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corelarea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între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şi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activităţi</w:t>
      </w:r>
      <w:proofErr w:type="spellEnd"/>
    </w:p>
    <w:p w14:paraId="041DA17D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CPV –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conformitate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legislația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vigoare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</w:p>
    <w:p w14:paraId="7FC8EE21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Tip contract – conform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definiţiilor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la art.3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98/2016,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modificările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ulterioare</w:t>
      </w:r>
      <w:proofErr w:type="spellEnd"/>
    </w:p>
    <w:p w14:paraId="5A647141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Tip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procedura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– conform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clasificării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98/2016,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modificările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ulterioare</w:t>
      </w:r>
      <w:proofErr w:type="spellEnd"/>
    </w:p>
    <w:p w14:paraId="5A59C1D3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contract  –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excepția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înainte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cărora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potrivit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</w:p>
    <w:p w14:paraId="406D951E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Moneda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– lei</w:t>
      </w:r>
    </w:p>
    <w:p w14:paraId="46FE7518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procedură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–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excepția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demarate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înainte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anunțului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participare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)</w:t>
      </w:r>
    </w:p>
    <w:p w14:paraId="2ADEE15A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rezultat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–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excepția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înainte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anunțului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atribuire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după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</w:t>
      </w:r>
      <w:proofErr w:type="spellEnd"/>
    </w:p>
    <w:p w14:paraId="4378060C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30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semnare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contract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obligatoriu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) –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excepția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înainte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semnării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contractului</w:t>
      </w:r>
      <w:proofErr w:type="spellEnd"/>
    </w:p>
    <w:p w14:paraId="6E8CD7B8" w14:textId="77777777" w:rsidR="00555964" w:rsidRPr="00261443" w:rsidRDefault="00555964" w:rsidP="00237757">
      <w:pPr>
        <w:pStyle w:val="BodyText"/>
        <w:widowControl w:val="0"/>
        <w:numPr>
          <w:ilvl w:val="0"/>
          <w:numId w:val="15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transmitere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J.O.U.E. -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excepția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achiziţiilor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demarate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înainte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finanţare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transmiterii</w:t>
      </w:r>
      <w:proofErr w:type="spellEnd"/>
    </w:p>
    <w:p w14:paraId="2C3C941F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28" w:name="bookmark86"/>
      <w:bookmarkStart w:id="29" w:name="bookmark87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Resurse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umane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implicate</w:t>
      </w:r>
      <w:bookmarkEnd w:id="28"/>
      <w:bookmarkEnd w:id="29"/>
    </w:p>
    <w:p w14:paraId="2B0B40DB" w14:textId="77777777" w:rsidR="00555964" w:rsidRPr="006A2C1E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6A2C1E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componența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echipei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respectiv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toate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pozițiile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pozițiile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acoperite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prin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mai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multe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posturi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, se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cumulat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, o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singură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dată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, cu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indicarea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numărului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lastRenderedPageBreak/>
        <w:t>persoane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ocupă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un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anumit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tip de post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indică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atribuțiile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pe care le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avea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fără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a se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nominaliza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persoanele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ocupa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aceste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hAnsiTheme="minorHAnsi" w:cstheme="minorHAnsi"/>
          <w:color w:val="27344C"/>
          <w:sz w:val="22"/>
        </w:rPr>
        <w:t>poziții</w:t>
      </w:r>
      <w:proofErr w:type="spellEnd"/>
      <w:r w:rsidRPr="006A2C1E">
        <w:rPr>
          <w:rFonts w:asciiTheme="minorHAnsi" w:hAnsiTheme="minorHAnsi" w:cstheme="minorHAnsi"/>
          <w:color w:val="27344C"/>
          <w:sz w:val="22"/>
        </w:rPr>
        <w:t>.</w:t>
      </w:r>
    </w:p>
    <w:p w14:paraId="69C3D1FF" w14:textId="77777777" w:rsidR="00555964" w:rsidRPr="006A2C1E" w:rsidRDefault="00555964" w:rsidP="00555964">
      <w:pPr>
        <w:jc w:val="both"/>
        <w:rPr>
          <w:rFonts w:asciiTheme="minorHAnsi" w:eastAsia="Trebuchet MS" w:hAnsiTheme="minorHAnsi" w:cstheme="minorHAnsi"/>
          <w:color w:val="27344C"/>
          <w:sz w:val="22"/>
        </w:rPr>
      </w:pP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Pentru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componenta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CERINŢE FIŞA POSTULUI se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completează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informațiile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din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câmpul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 COMPETENȚE SOLICITATE,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introducând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atribuțiile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din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fișa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postului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>.</w:t>
      </w:r>
    </w:p>
    <w:p w14:paraId="185C0592" w14:textId="386FEC03" w:rsidR="00555964" w:rsidRPr="00261443" w:rsidRDefault="00555964" w:rsidP="00555964">
      <w:pPr>
        <w:rPr>
          <w:rFonts w:asciiTheme="minorHAnsi" w:eastAsia="Trebuchet MS" w:hAnsiTheme="minorHAnsi" w:cstheme="minorHAnsi"/>
          <w:color w:val="27344C"/>
          <w:sz w:val="22"/>
          <w:highlight w:val="yellow"/>
        </w:rPr>
      </w:pPr>
    </w:p>
    <w:p w14:paraId="1D4E7507" w14:textId="78E207EA" w:rsidR="00555964" w:rsidRDefault="00555964" w:rsidP="00555964">
      <w:pPr>
        <w:jc w:val="both"/>
        <w:rPr>
          <w:rFonts w:asciiTheme="minorHAnsi" w:eastAsia="Trebuchet MS" w:hAnsiTheme="minorHAnsi" w:cstheme="minorHAnsi"/>
          <w:color w:val="27344C"/>
          <w:sz w:val="22"/>
        </w:rPr>
      </w:pP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Pentru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componenta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CURRICULUM VITAE nu se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completează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 xml:space="preserve"> </w:t>
      </w:r>
      <w:proofErr w:type="spellStart"/>
      <w:r w:rsidRPr="006A2C1E">
        <w:rPr>
          <w:rFonts w:asciiTheme="minorHAnsi" w:eastAsia="Trebuchet MS" w:hAnsiTheme="minorHAnsi" w:cstheme="minorHAnsi"/>
          <w:color w:val="27344C"/>
          <w:sz w:val="22"/>
        </w:rPr>
        <w:t>informații</w:t>
      </w:r>
      <w:proofErr w:type="spellEnd"/>
      <w:r w:rsidRPr="006A2C1E">
        <w:rPr>
          <w:rFonts w:asciiTheme="minorHAnsi" w:eastAsia="Trebuchet MS" w:hAnsiTheme="minorHAnsi" w:cstheme="minorHAnsi"/>
          <w:color w:val="27344C"/>
          <w:sz w:val="22"/>
        </w:rPr>
        <w:t>.</w:t>
      </w:r>
    </w:p>
    <w:p w14:paraId="65EC4FDA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30" w:name="bookmark88"/>
      <w:bookmarkStart w:id="31" w:name="bookmark89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Resurse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materiale</w:t>
      </w:r>
      <w:bookmarkEnd w:id="30"/>
      <w:bookmarkEnd w:id="31"/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existente</w:t>
      </w:r>
      <w:proofErr w:type="spellEnd"/>
    </w:p>
    <w:p w14:paraId="35C054E2" w14:textId="77777777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027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completa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informații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succinte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referitoare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sediul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/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sediile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aferente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activităților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prevăzute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prin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dotări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echipamente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IT pe care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solicitantul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le are la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dispoziție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le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utiliza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pentru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implementarea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proiectului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. </w:t>
      </w:r>
    </w:p>
    <w:p w14:paraId="2E853127" w14:textId="60115282" w:rsidR="00555964" w:rsidRPr="00261443" w:rsidRDefault="00555964" w:rsidP="00555964">
      <w:pPr>
        <w:pStyle w:val="Heading10"/>
        <w:keepNext/>
        <w:keepLines/>
        <w:shd w:val="clear" w:color="auto" w:fill="auto"/>
        <w:tabs>
          <w:tab w:val="left" w:pos="1027"/>
        </w:tabs>
        <w:snapToGrid w:val="0"/>
        <w:spacing w:before="120" w:after="120"/>
        <w:ind w:firstLine="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Dacă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sunt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necesare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resurse</w:t>
      </w:r>
      <w:proofErr w:type="spellEnd"/>
      <w:r w:rsidR="00874E0E"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="00874E0E"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materiale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pe care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solicitantul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nu le are la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dispoziție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le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solicită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proiect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acestea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vor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prezenta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justifica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la </w:t>
      </w:r>
      <w:proofErr w:type="spellStart"/>
      <w:proofErr w:type="gram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r w:rsidR="00874E0E"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”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Buget</w:t>
      </w:r>
      <w:proofErr w:type="spellEnd"/>
      <w:proofErr w:type="gram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-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Activități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cheltuieli</w:t>
      </w:r>
      <w:proofErr w:type="spellEnd"/>
      <w:r w:rsidR="00874E0E"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”</w:t>
      </w:r>
      <w:r w:rsidRPr="00261443"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  <w:t>.</w:t>
      </w:r>
    </w:p>
    <w:p w14:paraId="46BB70D8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Rezultate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așteptate</w:t>
      </w:r>
      <w:proofErr w:type="spellEnd"/>
    </w:p>
    <w:p w14:paraId="1FE4F9D8" w14:textId="59A712C9" w:rsidR="00555964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="00874E0E"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="00874E0E" w:rsidRPr="00261443">
        <w:rPr>
          <w:rFonts w:asciiTheme="minorHAnsi" w:hAnsiTheme="minorHAnsi" w:cstheme="minorHAnsi"/>
          <w:color w:val="27344C"/>
          <w:sz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="00874E0E" w:rsidRPr="00261443">
        <w:rPr>
          <w:rFonts w:asciiTheme="minorHAnsi" w:hAnsiTheme="minorHAnsi" w:cstheme="minorHAnsi"/>
          <w:color w:val="27344C"/>
          <w:sz w:val="22"/>
        </w:rPr>
        <w:t>”</w:t>
      </w:r>
      <w:proofErr w:type="spellStart"/>
      <w:r w:rsidR="00874E0E" w:rsidRPr="00261443">
        <w:rPr>
          <w:rFonts w:asciiTheme="minorHAnsi" w:hAnsiTheme="minorHAnsi" w:cstheme="minorHAnsi"/>
          <w:color w:val="27344C"/>
          <w:sz w:val="22"/>
        </w:rPr>
        <w:t>R</w:t>
      </w:r>
      <w:r w:rsidRPr="00261443">
        <w:rPr>
          <w:rFonts w:asciiTheme="minorHAnsi" w:hAnsiTheme="minorHAnsi" w:cstheme="minorHAnsi"/>
          <w:color w:val="27344C"/>
          <w:sz w:val="22"/>
        </w:rPr>
        <w:t>ezultatele</w:t>
      </w:r>
      <w:proofErr w:type="spellEnd"/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așteptate</w:t>
      </w:r>
      <w:proofErr w:type="spellEnd"/>
      <w:r w:rsidR="00874E0E" w:rsidRPr="00261443">
        <w:rPr>
          <w:rFonts w:asciiTheme="minorHAnsi" w:hAnsiTheme="minorHAnsi" w:cstheme="minorHAnsi"/>
          <w:color w:val="27344C"/>
          <w:sz w:val="22"/>
        </w:rPr>
        <w:t>”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corelare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,</w:t>
      </w:r>
      <w:r w:rsid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corelarea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secțiunea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”3.9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Rezultate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așteptate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” din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ghidul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solicitantului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. </w:t>
      </w:r>
    </w:p>
    <w:p w14:paraId="70F3D127" w14:textId="77777777" w:rsidR="00A35BC4" w:rsidRPr="00261443" w:rsidRDefault="00A35BC4" w:rsidP="00774CD6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</w:p>
    <w:p w14:paraId="6BF36C0C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Activități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previzionate</w:t>
      </w:r>
      <w:proofErr w:type="spellEnd"/>
    </w:p>
    <w:p w14:paraId="7484F6A7" w14:textId="556B19EA" w:rsidR="00555964" w:rsidRPr="00261443" w:rsidRDefault="00555964" w:rsidP="00555964">
      <w:pPr>
        <w:spacing w:before="120" w:after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selecta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următoarele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tipuri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acelea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aplică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, conform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secțiunilor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3.6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5.</w:t>
      </w:r>
      <w:r w:rsidR="00ED0691">
        <w:rPr>
          <w:rFonts w:asciiTheme="minorHAnsi" w:hAnsiTheme="minorHAnsi" w:cstheme="minorHAnsi"/>
          <w:color w:val="27344C"/>
          <w:sz w:val="22"/>
        </w:rPr>
        <w:t>2</w:t>
      </w:r>
      <w:r w:rsidR="006A2C1E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ghidul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6A2C1E">
        <w:rPr>
          <w:rFonts w:asciiTheme="minorHAnsi" w:hAnsiTheme="minorHAnsi" w:cstheme="minorHAnsi"/>
          <w:color w:val="27344C"/>
          <w:sz w:val="22"/>
        </w:rPr>
        <w:t>solicitantului</w:t>
      </w:r>
      <w:proofErr w:type="spellEnd"/>
      <w:r w:rsidR="006A2C1E">
        <w:rPr>
          <w:rFonts w:asciiTheme="minorHAnsi" w:hAnsiTheme="minorHAnsi" w:cstheme="minorHAnsi"/>
          <w:color w:val="27344C"/>
          <w:sz w:val="22"/>
        </w:rPr>
        <w:t>.</w:t>
      </w:r>
    </w:p>
    <w:p w14:paraId="1B3B745A" w14:textId="77777777" w:rsidR="00555964" w:rsidRPr="00261443" w:rsidRDefault="00555964" w:rsidP="00555964">
      <w:pPr>
        <w:pStyle w:val="BodyText"/>
        <w:tabs>
          <w:tab w:val="left" w:pos="1423"/>
        </w:tabs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începerii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încheierii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fiecărei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52EB7297" w14:textId="77777777" w:rsidR="00555964" w:rsidRPr="00261443" w:rsidRDefault="00555964" w:rsidP="00555964">
      <w:pPr>
        <w:pStyle w:val="BodyText"/>
        <w:tabs>
          <w:tab w:val="left" w:pos="1423"/>
        </w:tabs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Style w:val="Strong"/>
          <w:rFonts w:asciiTheme="minorHAnsi" w:hAnsiTheme="minorHAnsi" w:cstheme="minorHAnsi"/>
          <w:color w:val="27344C"/>
          <w:sz w:val="22"/>
        </w:rPr>
        <w:t>Durata</w:t>
      </w:r>
      <w:proofErr w:type="spellEnd"/>
      <w:r w:rsidRPr="00261443">
        <w:rPr>
          <w:rStyle w:val="Strong"/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Style w:val="Strong"/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 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mod automat.</w:t>
      </w:r>
    </w:p>
    <w:p w14:paraId="2D97F927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color w:val="27344C"/>
          <w:sz w:val="22"/>
          <w:szCs w:val="22"/>
        </w:rPr>
      </w:pPr>
      <w:bookmarkStart w:id="32" w:name="bookmark90"/>
      <w:bookmarkStart w:id="33" w:name="bookmark91"/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Buget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-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Activități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cheltuieli</w:t>
      </w:r>
      <w:bookmarkEnd w:id="32"/>
      <w:bookmarkEnd w:id="33"/>
      <w:proofErr w:type="spellEnd"/>
    </w:p>
    <w:p w14:paraId="3A3E0F08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acopere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toate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costurile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întreaga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perioadă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tuturor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articolelor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detaliată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suficient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Costurile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articol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fie estimate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limita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practicate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piață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Sumele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introduse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exprimate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unități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monetare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2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zecimale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79D372C8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elaborarea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solicitanții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aibă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vedere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costurile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necesare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indispensabile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realizării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3FE74A6F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plus,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aibă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vedere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legătură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directă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a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acesteia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exemplu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personalului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implicat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aplica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un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atunci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personalul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respectiv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alte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atribuții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decât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271F4DD5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fundamentarea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rezonabilității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costurilor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avea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vedere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istoricul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anterioare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derulate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asistență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76F99F1F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Totodată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momentul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elaborează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solicitanții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trebuie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aibă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vedere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eventuale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modificări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prețurilor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pot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surveni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momentul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elaborării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depunerii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Cererii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până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momentul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aprobării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/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încheierii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contractelor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publică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subsecvente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p w14:paraId="615A51AF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cheltuială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următoarele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informații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:</w:t>
      </w:r>
    </w:p>
    <w:p w14:paraId="60FC964A" w14:textId="4365590E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descrie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cheltuiala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prevăzută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(de </w:t>
      </w:r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ex:,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salariale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personal,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evaluarea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tehnică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financiară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CF,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echipamente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materiale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consumabile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obiecte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inventar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etc.),</w:t>
      </w:r>
    </w:p>
    <w:p w14:paraId="551E8E6A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lastRenderedPageBreak/>
        <w:t>Categorie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nomenclator</w:t>
      </w:r>
    </w:p>
    <w:p w14:paraId="104A6A2D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Subcategorie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nomenclator</w:t>
      </w:r>
    </w:p>
    <w:p w14:paraId="11D808E2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Tip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directă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indirectă</w:t>
      </w:r>
      <w:proofErr w:type="spellEnd"/>
    </w:p>
    <w:p w14:paraId="27D972FC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procedura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care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încadrează</w:t>
      </w:r>
      <w:proofErr w:type="spellEnd"/>
    </w:p>
    <w:p w14:paraId="5C1CFFD1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U.M. -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măsură</w:t>
      </w:r>
      <w:proofErr w:type="spellEnd"/>
    </w:p>
    <w:p w14:paraId="5F8EDFB2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Cantitate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trece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cantitatea</w:t>
      </w:r>
      <w:proofErr w:type="spellEnd"/>
    </w:p>
    <w:p w14:paraId="0728A9A7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Preț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fără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(lei)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prețul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fără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folosit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estimarea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</w:p>
    <w:p w14:paraId="3E01140E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- conform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legislației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vigoare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funcție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natura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</w:p>
    <w:p w14:paraId="4A6B3341" w14:textId="135A131F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fără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înmulțind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cantitatea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prețul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unitar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(lei),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cheltuiala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are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legătură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directă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sau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include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r w:rsidR="00796B99" w:rsidRPr="00261443">
        <w:rPr>
          <w:rFonts w:asciiTheme="minorHAnsi" w:hAnsiTheme="minorHAnsi" w:cstheme="minorHAnsi"/>
          <w:color w:val="27344C"/>
          <w:sz w:val="22"/>
        </w:rPr>
        <w:t>”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Justificare</w:t>
      </w:r>
      <w:proofErr w:type="spellEnd"/>
      <w:proofErr w:type="gramEnd"/>
      <w:r w:rsidR="00796B99" w:rsidRPr="00261443">
        <w:rPr>
          <w:rFonts w:asciiTheme="minorHAnsi" w:hAnsiTheme="minorHAnsi" w:cstheme="minorHAnsi"/>
          <w:color w:val="27344C"/>
          <w:sz w:val="22"/>
        </w:rPr>
        <w:t>”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valorii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</w:p>
    <w:p w14:paraId="0D9A1A1C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TVA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selectează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DA,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nerecuperabil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NU,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contrar</w:t>
      </w:r>
      <w:proofErr w:type="spellEnd"/>
    </w:p>
    <w:p w14:paraId="6BE86150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Justificare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completează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justificarea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modul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aceasta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diferă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față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cheltuiala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totală</w:t>
      </w:r>
      <w:proofErr w:type="spellEnd"/>
    </w:p>
    <w:p w14:paraId="4CEA1C4B" w14:textId="77777777" w:rsidR="00555964" w:rsidRPr="00261443" w:rsidRDefault="00555964" w:rsidP="00237757">
      <w:pPr>
        <w:pStyle w:val="BodyText"/>
        <w:widowControl w:val="0"/>
        <w:numPr>
          <w:ilvl w:val="0"/>
          <w:numId w:val="17"/>
        </w:numPr>
        <w:shd w:val="clear" w:color="auto" w:fill="FFFFFF"/>
        <w:tabs>
          <w:tab w:val="left" w:pos="426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bookmarkStart w:id="34" w:name="bookmark92"/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Nerambursabil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(lei) - </w:t>
      </w:r>
      <w:bookmarkEnd w:id="34"/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nerambursabilă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fi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automat</w:t>
      </w:r>
    </w:p>
    <w:p w14:paraId="4C4C482E" w14:textId="77777777" w:rsidR="00555964" w:rsidRPr="00261443" w:rsidRDefault="00555964" w:rsidP="00555964">
      <w:pPr>
        <w:spacing w:before="120" w:after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Toate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introduc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 lei.</w:t>
      </w:r>
    </w:p>
    <w:p w14:paraId="2579EBDF" w14:textId="77777777" w:rsidR="00555964" w:rsidRPr="00261443" w:rsidRDefault="00555964" w:rsidP="00555964">
      <w:pPr>
        <w:spacing w:before="120" w:after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Observație</w:t>
      </w:r>
      <w:proofErr w:type="spellEnd"/>
      <w:r w:rsidRPr="00261443">
        <w:rPr>
          <w:rFonts w:asciiTheme="minorHAnsi" w:hAnsiTheme="minorHAnsi" w:cstheme="minorHAnsi"/>
          <w:b/>
          <w:bCs/>
          <w:color w:val="27344C"/>
          <w:sz w:val="22"/>
        </w:rPr>
        <w:t>: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un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câmp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editabil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nepurtătoare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TVA, TVA-ul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0.</w:t>
      </w:r>
    </w:p>
    <w:p w14:paraId="515A97B6" w14:textId="77777777" w:rsidR="00555964" w:rsidRPr="00261443" w:rsidRDefault="00555964" w:rsidP="00555964">
      <w:pPr>
        <w:spacing w:before="120" w:after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Solicitantul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asigura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corespunzător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costurile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prevăzute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clar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:</w:t>
      </w:r>
    </w:p>
    <w:p w14:paraId="1B7B08D2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daca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cheltuiala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încadrată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categoria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adecvată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; </w:t>
      </w:r>
    </w:p>
    <w:p w14:paraId="5A0E22C0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costurile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prevăzute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 explicate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corespunzător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; </w:t>
      </w:r>
    </w:p>
    <w:p w14:paraId="6B57FE02" w14:textId="294D0B0A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gramStart"/>
      <w:r w:rsidRPr="00261443">
        <w:rPr>
          <w:rFonts w:asciiTheme="minorHAnsi" w:hAnsiTheme="minorHAnsi" w:cstheme="minorHAnsi"/>
          <w:color w:val="27344C"/>
          <w:sz w:val="22"/>
        </w:rPr>
        <w:t>a</w:t>
      </w:r>
      <w:proofErr w:type="gram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achizițiilor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prevăzute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</w:t>
      </w:r>
      <w:r w:rsidR="000646B7" w:rsidRPr="00261443">
        <w:rPr>
          <w:rFonts w:asciiTheme="minorHAnsi" w:hAnsiTheme="minorHAnsi" w:cstheme="minorHAnsi"/>
          <w:color w:val="27344C"/>
          <w:sz w:val="22"/>
        </w:rPr>
        <w:t>l</w:t>
      </w:r>
      <w:r w:rsidRPr="00261443">
        <w:rPr>
          <w:rFonts w:asciiTheme="minorHAnsi" w:hAnsiTheme="minorHAnsi" w:cstheme="minorHAnsi"/>
          <w:color w:val="27344C"/>
          <w:sz w:val="22"/>
        </w:rPr>
        <w:t>anul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achizitii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corelată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fără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; </w:t>
      </w:r>
    </w:p>
    <w:p w14:paraId="29B87FE6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TVA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fost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calculată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260F670F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limitările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procentuale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/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valorice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referitoare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secţiunile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corespunzătoare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37F16F62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 xml:space="preserve">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justificarea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fiecărei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);</w:t>
      </w:r>
    </w:p>
    <w:p w14:paraId="444AE0A3" w14:textId="12DC2BBA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respectă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regulile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naționale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</w:t>
      </w:r>
      <w:r w:rsidR="000646B7"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="000646B7" w:rsidRPr="00261443">
        <w:rPr>
          <w:rFonts w:asciiTheme="minorHAnsi" w:hAnsiTheme="minorHAnsi" w:cstheme="minorHAnsi"/>
          <w:color w:val="27344C"/>
          <w:sz w:val="22"/>
        </w:rPr>
        <w:t>București</w:t>
      </w:r>
      <w:proofErr w:type="spellEnd"/>
      <w:r w:rsidR="000646B7" w:rsidRPr="00261443">
        <w:rPr>
          <w:rFonts w:asciiTheme="minorHAnsi" w:hAnsiTheme="minorHAnsi" w:cstheme="minorHAnsi"/>
          <w:color w:val="27344C"/>
          <w:sz w:val="22"/>
        </w:rPr>
        <w:t>-Ilfov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referitoare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la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eligibilitatea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0798A57C" w14:textId="77777777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cheltuielile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 corelate cu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activităţile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necesare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desfăşurarea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activităţilor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;</w:t>
      </w:r>
    </w:p>
    <w:p w14:paraId="0611387A" w14:textId="65A34DB0" w:rsidR="00555964" w:rsidRPr="00261443" w:rsidRDefault="00555964" w:rsidP="00237757">
      <w:pPr>
        <w:pStyle w:val="BodyText"/>
        <w:widowControl w:val="0"/>
        <w:numPr>
          <w:ilvl w:val="0"/>
          <w:numId w:val="18"/>
        </w:numPr>
        <w:shd w:val="clear" w:color="auto" w:fill="FFFFFF"/>
        <w:tabs>
          <w:tab w:val="left" w:pos="1421"/>
        </w:tabs>
        <w:snapToGrid w:val="0"/>
        <w:spacing w:before="120"/>
        <w:ind w:left="284" w:hanging="284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color w:val="27344C"/>
          <w:sz w:val="22"/>
        </w:rPr>
        <w:t>(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dacă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cazul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)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Studiile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menţionate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Bugetul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-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este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menţionată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suma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fiecărui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studiu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preconizat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a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realiza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cadrul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iar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temele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studiilor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sunt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relevante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PR</w:t>
      </w:r>
      <w:r w:rsidR="000646B7" w:rsidRPr="00261443">
        <w:rPr>
          <w:rFonts w:asciiTheme="minorHAnsi" w:hAnsiTheme="minorHAnsi" w:cstheme="minorHAnsi"/>
          <w:color w:val="27344C"/>
          <w:sz w:val="22"/>
        </w:rPr>
        <w:t xml:space="preserve"> BI</w:t>
      </w:r>
      <w:r w:rsidRPr="00261443">
        <w:rPr>
          <w:rFonts w:asciiTheme="minorHAnsi" w:hAnsiTheme="minorHAnsi" w:cstheme="minorHAnsi"/>
          <w:color w:val="27344C"/>
          <w:sz w:val="22"/>
        </w:rPr>
        <w:t>.</w:t>
      </w:r>
    </w:p>
    <w:tbl>
      <w:tblPr>
        <w:tblStyle w:val="TableGrid1"/>
        <w:tblpPr w:leftFromText="180" w:rightFromText="180" w:vertAnchor="text" w:horzAnchor="margin" w:tblpX="-20" w:tblpY="267"/>
        <w:tblW w:w="95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52"/>
        <w:gridCol w:w="3909"/>
        <w:gridCol w:w="4242"/>
      </w:tblGrid>
      <w:tr w:rsidR="00A35BC4" w:rsidRPr="00333279" w14:paraId="10AC3C39" w14:textId="77777777" w:rsidTr="00C666CB">
        <w:tc>
          <w:tcPr>
            <w:tcW w:w="1129" w:type="dxa"/>
          </w:tcPr>
          <w:p w14:paraId="21D13A2C" w14:textId="77777777" w:rsidR="00A35BC4" w:rsidRPr="00333279" w:rsidRDefault="00A35BC4" w:rsidP="00C666CB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>Categorie cheltuială</w:t>
            </w:r>
          </w:p>
        </w:tc>
        <w:tc>
          <w:tcPr>
            <w:tcW w:w="3266" w:type="dxa"/>
          </w:tcPr>
          <w:p w14:paraId="72B177C2" w14:textId="77777777" w:rsidR="00A35BC4" w:rsidRPr="00333279" w:rsidRDefault="00A35BC4" w:rsidP="00C666CB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>Subcategorii</w:t>
            </w:r>
          </w:p>
        </w:tc>
        <w:tc>
          <w:tcPr>
            <w:tcW w:w="3544" w:type="dxa"/>
          </w:tcPr>
          <w:p w14:paraId="1D4C3C26" w14:textId="77777777" w:rsidR="00A35BC4" w:rsidRPr="00333279" w:rsidRDefault="00A35BC4" w:rsidP="00C666CB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>Categorie/subcategorie cheltuieli SMIS 2014</w:t>
            </w:r>
          </w:p>
        </w:tc>
      </w:tr>
      <w:tr w:rsidR="00A35BC4" w:rsidRPr="00333279" w14:paraId="60EBEED3" w14:textId="77777777" w:rsidTr="00C666CB">
        <w:trPr>
          <w:trHeight w:val="456"/>
        </w:trPr>
        <w:tc>
          <w:tcPr>
            <w:tcW w:w="1129" w:type="dxa"/>
            <w:vMerge w:val="restart"/>
            <w:textDirection w:val="btLr"/>
          </w:tcPr>
          <w:p w14:paraId="3A8F15F2" w14:textId="77777777" w:rsidR="00A35BC4" w:rsidRPr="00333279" w:rsidRDefault="00A35BC4" w:rsidP="00A35BC4">
            <w:pPr>
              <w:numPr>
                <w:ilvl w:val="0"/>
                <w:numId w:val="25"/>
              </w:numPr>
              <w:spacing w:after="160" w:line="259" w:lineRule="auto"/>
              <w:ind w:left="176" w:right="113" w:hanging="177"/>
              <w:contextualSpacing/>
              <w:jc w:val="right"/>
              <w:rPr>
                <w:rFonts w:cstheme="minorHAnsi"/>
                <w:b/>
                <w:bCs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 xml:space="preserve"> Cheltuieli cu personalul</w:t>
            </w:r>
          </w:p>
        </w:tc>
        <w:tc>
          <w:tcPr>
            <w:tcW w:w="3266" w:type="dxa"/>
          </w:tcPr>
          <w:p w14:paraId="1E49CA72" w14:textId="77777777" w:rsidR="00A35BC4" w:rsidRPr="00333279" w:rsidRDefault="00A35BC4" w:rsidP="00A35BC4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cheltuieli salarial</w:t>
            </w:r>
            <w:r w:rsidRPr="00333279">
              <w:rPr>
                <w:rFonts w:cstheme="minorHAnsi"/>
                <w:color w:val="000000" w:themeColor="text1"/>
                <w:lang w:val="ro-RO"/>
              </w:rPr>
              <w:t>e</w:t>
            </w:r>
            <w:r w:rsidRPr="00333279">
              <w:rPr>
                <w:color w:val="000000" w:themeColor="text1"/>
                <w:sz w:val="24"/>
                <w:szCs w:val="24"/>
                <w:lang w:val="ro-RO"/>
              </w:rPr>
              <w:t xml:space="preserve"> și alte beneficii asimilabile</w:t>
            </w:r>
          </w:p>
          <w:p w14:paraId="0FE82F9D" w14:textId="77777777" w:rsidR="00A35BC4" w:rsidRPr="00333279" w:rsidRDefault="00A35BC4" w:rsidP="00C666CB">
            <w:pPr>
              <w:spacing w:after="160" w:line="259" w:lineRule="auto"/>
              <w:contextualSpacing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977565A" w14:textId="77777777" w:rsidR="00A35BC4" w:rsidRPr="00333279" w:rsidRDefault="00A35BC4" w:rsidP="00C666CB">
            <w:pPr>
              <w:spacing w:line="259" w:lineRule="auto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Categoria 25 ”Cheltuieli salariale”/ subcategoria 88-”Cheltuieli AT efectuate </w:t>
            </w:r>
            <w:r w:rsidRPr="00333279">
              <w:rPr>
                <w:rFonts w:cstheme="minorHAnsi"/>
                <w:lang w:val="ro-RO"/>
              </w:rPr>
              <w:lastRenderedPageBreak/>
              <w:t>pentru remunerarea personalului FESI SI FEAD” și/sau</w:t>
            </w:r>
          </w:p>
          <w:p w14:paraId="52389D00" w14:textId="77777777" w:rsidR="00A35BC4" w:rsidRPr="00333279" w:rsidRDefault="00A35BC4" w:rsidP="00C666CB">
            <w:pPr>
              <w:spacing w:line="259" w:lineRule="auto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Subcategoria 87</w:t>
            </w:r>
          </w:p>
        </w:tc>
      </w:tr>
      <w:tr w:rsidR="00A35BC4" w:rsidRPr="00333279" w14:paraId="3C139C44" w14:textId="77777777" w:rsidTr="00C666CB">
        <w:trPr>
          <w:trHeight w:val="432"/>
        </w:trPr>
        <w:tc>
          <w:tcPr>
            <w:tcW w:w="1129" w:type="dxa"/>
            <w:vMerge/>
          </w:tcPr>
          <w:p w14:paraId="56360F16" w14:textId="77777777" w:rsidR="00A35BC4" w:rsidRPr="00333279" w:rsidRDefault="00A35BC4" w:rsidP="00A35BC4">
            <w:pPr>
              <w:numPr>
                <w:ilvl w:val="0"/>
                <w:numId w:val="25"/>
              </w:numPr>
              <w:spacing w:after="160" w:line="259" w:lineRule="auto"/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72ED9130" w14:textId="77777777" w:rsidR="00A35BC4" w:rsidRPr="00333279" w:rsidRDefault="00A35BC4" w:rsidP="00C666CB">
            <w:pPr>
              <w:contextualSpacing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•  cheltuieli cu diurnele </w:t>
            </w:r>
          </w:p>
        </w:tc>
        <w:tc>
          <w:tcPr>
            <w:tcW w:w="3544" w:type="dxa"/>
          </w:tcPr>
          <w:p w14:paraId="1EE7C23F" w14:textId="77777777" w:rsidR="00A35BC4" w:rsidRPr="00333279" w:rsidRDefault="00A35BC4" w:rsidP="00C666CB">
            <w:pPr>
              <w:spacing w:line="259" w:lineRule="auto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Categoria 27 ”Cheltuieli cu deplasarea”, sub-categoria 98 ”Cheltuieli cu deplasarea pentru personalul propriu </w:t>
            </w:r>
            <w:r>
              <w:rPr>
                <w:rFonts w:cstheme="minorHAnsi"/>
                <w:lang w:val="ro-RO"/>
              </w:rPr>
              <w:t>ș</w:t>
            </w:r>
            <w:r w:rsidRPr="00333279">
              <w:rPr>
                <w:rFonts w:cstheme="minorHAnsi"/>
                <w:lang w:val="ro-RO"/>
              </w:rPr>
              <w:t>i experți implicați in implementarea proiectului”</w:t>
            </w:r>
          </w:p>
        </w:tc>
      </w:tr>
      <w:tr w:rsidR="00A35BC4" w:rsidRPr="00333279" w14:paraId="66750B00" w14:textId="77777777" w:rsidTr="00C666CB">
        <w:trPr>
          <w:trHeight w:val="1126"/>
        </w:trPr>
        <w:tc>
          <w:tcPr>
            <w:tcW w:w="1129" w:type="dxa"/>
            <w:vMerge w:val="restart"/>
            <w:textDirection w:val="btLr"/>
          </w:tcPr>
          <w:p w14:paraId="575EAB14" w14:textId="77777777" w:rsidR="00A35BC4" w:rsidRPr="00333279" w:rsidRDefault="00A35BC4" w:rsidP="00A35BC4">
            <w:pPr>
              <w:numPr>
                <w:ilvl w:val="0"/>
                <w:numId w:val="25"/>
              </w:numPr>
              <w:spacing w:after="160" w:line="259" w:lineRule="auto"/>
              <w:ind w:left="176" w:right="113" w:hanging="177"/>
              <w:contextualSpacing/>
              <w:jc w:val="right"/>
              <w:rPr>
                <w:rFonts w:cstheme="minorHAnsi"/>
                <w:b/>
                <w:bCs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>Cheltuieli cu servicii</w:t>
            </w:r>
          </w:p>
        </w:tc>
        <w:tc>
          <w:tcPr>
            <w:tcW w:w="3266" w:type="dxa"/>
          </w:tcPr>
          <w:p w14:paraId="65D5F7F4" w14:textId="77777777" w:rsidR="00A35BC4" w:rsidRPr="00333279" w:rsidRDefault="00A35BC4" w:rsidP="00C666CB">
            <w:pPr>
              <w:tabs>
                <w:tab w:val="left" w:pos="454"/>
              </w:tabs>
              <w:spacing w:line="259" w:lineRule="auto"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• servicii de transport,  cazare inclusiv pentru membrii/</w:t>
            </w:r>
          </w:p>
          <w:p w14:paraId="5C9635BD" w14:textId="77777777" w:rsidR="00A35BC4" w:rsidRPr="00333279" w:rsidRDefault="00A35BC4" w:rsidP="00C666CB">
            <w:pPr>
              <w:tabs>
                <w:tab w:val="left" w:pos="454"/>
              </w:tabs>
              <w:spacing w:line="259" w:lineRule="auto"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observatorii CM </w:t>
            </w:r>
          </w:p>
          <w:p w14:paraId="0998754C" w14:textId="77777777" w:rsidR="00A35BC4" w:rsidRPr="00333279" w:rsidRDefault="00A35BC4" w:rsidP="00C666CB">
            <w:pPr>
              <w:spacing w:after="160" w:line="259" w:lineRule="auto"/>
              <w:contextualSpacing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38D88BB9" w14:textId="77777777" w:rsidR="00A35BC4" w:rsidRPr="00333279" w:rsidRDefault="00A35BC4" w:rsidP="00C666CB">
            <w:pPr>
              <w:tabs>
                <w:tab w:val="left" w:pos="454"/>
              </w:tabs>
              <w:spacing w:after="160" w:line="259" w:lineRule="auto"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Categoria 27 ”Cheltuieli cu deplasarea”, sub-categoria 98 ”Cheltuieli cu deplasarea pentru personalul propriu </w:t>
            </w:r>
            <w:r>
              <w:rPr>
                <w:rFonts w:cstheme="minorHAnsi"/>
                <w:lang w:val="ro-RO"/>
              </w:rPr>
              <w:t>ș</w:t>
            </w:r>
            <w:r w:rsidRPr="00333279">
              <w:rPr>
                <w:rFonts w:cstheme="minorHAnsi"/>
                <w:lang w:val="ro-RO"/>
              </w:rPr>
              <w:t>i experți implicați in implementarea proiectului”</w:t>
            </w:r>
          </w:p>
        </w:tc>
      </w:tr>
      <w:tr w:rsidR="00A35BC4" w:rsidRPr="00333279" w14:paraId="6B9FA8A6" w14:textId="77777777" w:rsidTr="00C666CB">
        <w:trPr>
          <w:trHeight w:val="1405"/>
        </w:trPr>
        <w:tc>
          <w:tcPr>
            <w:tcW w:w="1129" w:type="dxa"/>
            <w:vMerge/>
          </w:tcPr>
          <w:p w14:paraId="3333F430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6B2BB292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• servicii de instruire pentru personalul propriu sau pentru membrii/observatorii CM ;</w:t>
            </w:r>
          </w:p>
          <w:p w14:paraId="066E82C7" w14:textId="77777777" w:rsidR="00A35BC4" w:rsidRPr="00333279" w:rsidRDefault="00A35BC4" w:rsidP="00C666CB">
            <w:pPr>
              <w:tabs>
                <w:tab w:val="left" w:pos="1212"/>
              </w:tabs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89BC9F5" w14:textId="77777777" w:rsidR="00A35BC4" w:rsidRPr="00333279" w:rsidRDefault="00A35BC4" w:rsidP="00C666CB">
            <w:pPr>
              <w:tabs>
                <w:tab w:val="left" w:pos="454"/>
              </w:tabs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~Cheltuieli cu serviciile~, subcategoria 104 ~Cheltuieli cu servicii pentru organizarea de evenimente și cursuri de formare~</w:t>
            </w:r>
          </w:p>
        </w:tc>
      </w:tr>
      <w:tr w:rsidR="00A35BC4" w:rsidRPr="00333279" w14:paraId="07E11F8E" w14:textId="77777777" w:rsidTr="00C666CB">
        <w:trPr>
          <w:trHeight w:val="702"/>
        </w:trPr>
        <w:tc>
          <w:tcPr>
            <w:tcW w:w="1129" w:type="dxa"/>
            <w:vMerge/>
          </w:tcPr>
          <w:p w14:paraId="6715D0AE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4AF37E19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medicina muncii, servicii SSM, alte servicii medicale</w:t>
            </w:r>
          </w:p>
        </w:tc>
        <w:tc>
          <w:tcPr>
            <w:tcW w:w="3544" w:type="dxa"/>
          </w:tcPr>
          <w:p w14:paraId="7A396B95" w14:textId="77777777" w:rsidR="00A35BC4" w:rsidRPr="00333279" w:rsidRDefault="00A35BC4" w:rsidP="00C666CB">
            <w:pPr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607CBEC3" w14:textId="77777777" w:rsidTr="00C666CB">
        <w:trPr>
          <w:trHeight w:val="1416"/>
        </w:trPr>
        <w:tc>
          <w:tcPr>
            <w:tcW w:w="1129" w:type="dxa"/>
            <w:vMerge/>
          </w:tcPr>
          <w:p w14:paraId="628437C4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055C485A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21" w:hanging="321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evaluare si expertiză tehnică și financiară;</w:t>
            </w:r>
          </w:p>
          <w:p w14:paraId="4050589F" w14:textId="77777777" w:rsidR="00A35BC4" w:rsidRPr="00333279" w:rsidRDefault="00A35BC4" w:rsidP="00C666CB">
            <w:pPr>
              <w:pStyle w:val="ListParagraph"/>
              <w:tabs>
                <w:tab w:val="left" w:pos="454"/>
              </w:tabs>
              <w:ind w:left="360"/>
              <w:jc w:val="both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6564A0E1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25 ”Cheltuieli salariale”; Sub-categoria 87 ”Onorarii/venituri asimilate salariilor pentru experții proprii/cooptați; sau Categoria 29 ”Cheltuieli cu serviciile”, sub-categoria 100 ”Cheltuieli pentru consultanță și expertiză, inclusiv pentru elaborare PMUD”</w:t>
            </w:r>
          </w:p>
        </w:tc>
      </w:tr>
      <w:tr w:rsidR="00A35BC4" w:rsidRPr="00333279" w14:paraId="501B0A8E" w14:textId="77777777" w:rsidTr="00C666CB">
        <w:trPr>
          <w:trHeight w:val="44"/>
        </w:trPr>
        <w:tc>
          <w:tcPr>
            <w:tcW w:w="1129" w:type="dxa"/>
            <w:vMerge/>
          </w:tcPr>
          <w:p w14:paraId="2CAF35AD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8AB0AD5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expertiză contabilă și juridică;</w:t>
            </w:r>
          </w:p>
          <w:p w14:paraId="34CB772E" w14:textId="77777777" w:rsidR="00A35BC4" w:rsidRPr="00333279" w:rsidRDefault="00A35BC4" w:rsidP="00C666CB">
            <w:pPr>
              <w:pStyle w:val="ListParagraph"/>
              <w:ind w:left="360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7CA7E577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”Cheltuieli cu serviciile”, sub-categoria 100 ”Cheltuieli pentru consultanță și expertiză, inclusiv pentru elaborare PMUD”</w:t>
            </w:r>
          </w:p>
        </w:tc>
      </w:tr>
      <w:tr w:rsidR="00A35BC4" w:rsidRPr="00333279" w14:paraId="46821E05" w14:textId="77777777" w:rsidTr="00C666CB">
        <w:trPr>
          <w:trHeight w:val="1124"/>
        </w:trPr>
        <w:tc>
          <w:tcPr>
            <w:tcW w:w="1129" w:type="dxa"/>
            <w:vMerge/>
          </w:tcPr>
          <w:p w14:paraId="3870BB09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7C40CC1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organizarea de evenimente, inclusiv pentru întrunirile Comitetului de Monitorizare al PR BI;</w:t>
            </w:r>
          </w:p>
        </w:tc>
        <w:tc>
          <w:tcPr>
            <w:tcW w:w="3544" w:type="dxa"/>
          </w:tcPr>
          <w:p w14:paraId="172A22B4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104 - cheltuieli cu servicii pentru organizarea de evenimente și cursuri de formare</w:t>
            </w:r>
          </w:p>
        </w:tc>
      </w:tr>
      <w:tr w:rsidR="00A35BC4" w:rsidRPr="00333279" w14:paraId="1C2330F6" w14:textId="77777777" w:rsidTr="00C666CB">
        <w:trPr>
          <w:trHeight w:val="1416"/>
        </w:trPr>
        <w:tc>
          <w:tcPr>
            <w:tcW w:w="1129" w:type="dxa"/>
            <w:vMerge/>
          </w:tcPr>
          <w:p w14:paraId="08C67C5D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419DA765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serviciile de informare, comunicare și publicitate privind PR BI;</w:t>
            </w:r>
          </w:p>
        </w:tc>
        <w:tc>
          <w:tcPr>
            <w:tcW w:w="3544" w:type="dxa"/>
          </w:tcPr>
          <w:p w14:paraId="582B9C97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Categoria 8-cheltuieli de informare, comunicare și publicitate; sub-categoria 17 - cheltuieli de informare și publicitate pentru proiect, care </w:t>
            </w:r>
            <w:r w:rsidRPr="00333279">
              <w:rPr>
                <w:lang w:val="ro-RO"/>
              </w:rPr>
              <w:t xml:space="preserve"> </w:t>
            </w:r>
            <w:r w:rsidRPr="00333279">
              <w:rPr>
                <w:rFonts w:cstheme="minorHAnsi"/>
                <w:lang w:val="ro-RO"/>
              </w:rPr>
              <w:t>rezultă din obligațiile beneficiarului sau sub-categoria 18 - cheltuieli de promovare a obiectivului de investiție/produsului/serviciului finanțat</w:t>
            </w:r>
          </w:p>
        </w:tc>
      </w:tr>
      <w:tr w:rsidR="00A35BC4" w:rsidRPr="00333279" w14:paraId="78074DF9" w14:textId="77777777" w:rsidTr="00C666CB">
        <w:trPr>
          <w:trHeight w:val="1416"/>
        </w:trPr>
        <w:tc>
          <w:tcPr>
            <w:tcW w:w="1129" w:type="dxa"/>
            <w:vMerge/>
          </w:tcPr>
          <w:p w14:paraId="0D1A1A9F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3D7C03A7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studii, analize, sondaje, evaluări</w:t>
            </w:r>
          </w:p>
          <w:p w14:paraId="59A4F8DB" w14:textId="77777777" w:rsidR="00A35BC4" w:rsidRPr="00333279" w:rsidRDefault="00A35BC4" w:rsidP="00C666CB">
            <w:pPr>
              <w:pStyle w:val="ListParagraph"/>
              <w:ind w:left="360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28EBC593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”Cheltuieli cu serviciile”, sub-categoria 100 ”Cheltuieli pentru consultanță și expertiză, inclusiv pentru elaborare PMUD”</w:t>
            </w:r>
          </w:p>
        </w:tc>
      </w:tr>
      <w:tr w:rsidR="00A35BC4" w:rsidRPr="00333279" w14:paraId="28952A81" w14:textId="77777777" w:rsidTr="00C666CB">
        <w:trPr>
          <w:trHeight w:val="44"/>
        </w:trPr>
        <w:tc>
          <w:tcPr>
            <w:tcW w:w="1129" w:type="dxa"/>
            <w:vMerge/>
          </w:tcPr>
          <w:p w14:paraId="4B4744CA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0826D2A0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cheltuieli cu servicii implementare program;</w:t>
            </w:r>
          </w:p>
        </w:tc>
        <w:tc>
          <w:tcPr>
            <w:tcW w:w="3544" w:type="dxa"/>
          </w:tcPr>
          <w:p w14:paraId="546B046A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5335D772" w14:textId="77777777" w:rsidTr="00C666CB">
        <w:trPr>
          <w:trHeight w:val="268"/>
        </w:trPr>
        <w:tc>
          <w:tcPr>
            <w:tcW w:w="1129" w:type="dxa"/>
            <w:vMerge/>
          </w:tcPr>
          <w:p w14:paraId="7D8C6216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0D9BF449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cheltuieli cu serviciile de arhivare fizică și electronică a documentelor;</w:t>
            </w:r>
          </w:p>
        </w:tc>
        <w:tc>
          <w:tcPr>
            <w:tcW w:w="3544" w:type="dxa"/>
          </w:tcPr>
          <w:p w14:paraId="32F74599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46B28313" w14:textId="77777777" w:rsidTr="00C666CB">
        <w:trPr>
          <w:trHeight w:val="44"/>
        </w:trPr>
        <w:tc>
          <w:tcPr>
            <w:tcW w:w="1129" w:type="dxa"/>
            <w:vMerge/>
          </w:tcPr>
          <w:p w14:paraId="53971A96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66E3D517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consultanță,</w:t>
            </w:r>
          </w:p>
        </w:tc>
        <w:tc>
          <w:tcPr>
            <w:tcW w:w="3544" w:type="dxa"/>
          </w:tcPr>
          <w:p w14:paraId="4D72C313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”Cheltuieli cu serviciile”, sub-categoria 100 ”Cheltuieli pentru consultanță și expertiză, inclusiv pentru elaborare PMUD”</w:t>
            </w:r>
          </w:p>
        </w:tc>
      </w:tr>
      <w:tr w:rsidR="00A35BC4" w:rsidRPr="00333279" w14:paraId="465754F9" w14:textId="77777777" w:rsidTr="00C666CB">
        <w:trPr>
          <w:trHeight w:val="1416"/>
        </w:trPr>
        <w:tc>
          <w:tcPr>
            <w:tcW w:w="1129" w:type="dxa"/>
            <w:vMerge/>
          </w:tcPr>
          <w:p w14:paraId="495B3B34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4BFB28C9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serviciile de reparații/ service/ întreținere autoturisme și echipamente, aflate în proprietatea solicitantului, cu condiția ca acestea să fie utilizate în scopul proiectului.</w:t>
            </w:r>
          </w:p>
        </w:tc>
        <w:tc>
          <w:tcPr>
            <w:tcW w:w="3544" w:type="dxa"/>
          </w:tcPr>
          <w:p w14:paraId="7D587A43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5295FEE0" w14:textId="77777777" w:rsidTr="00C666CB">
        <w:trPr>
          <w:trHeight w:val="1416"/>
        </w:trPr>
        <w:tc>
          <w:tcPr>
            <w:tcW w:w="1129" w:type="dxa"/>
            <w:vMerge/>
          </w:tcPr>
          <w:p w14:paraId="1F63BF62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0B1CDCB" w14:textId="77777777" w:rsidR="00A35BC4" w:rsidRPr="00333279" w:rsidRDefault="00A35BC4" w:rsidP="00A35BC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21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asigurări pentru răspundere civilă auto obligatorie, precum și asigurările de tip CASCO (pentru autoturismele aflate în proprietatea solicitantului şi utilizate exclusiv în scopul proiectului</w:t>
            </w:r>
          </w:p>
        </w:tc>
        <w:tc>
          <w:tcPr>
            <w:tcW w:w="3544" w:type="dxa"/>
          </w:tcPr>
          <w:p w14:paraId="5030D19E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  <w:p w14:paraId="7BE67150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A35BC4" w:rsidRPr="00333279" w14:paraId="49407C67" w14:textId="77777777" w:rsidTr="00C666CB">
        <w:trPr>
          <w:trHeight w:val="1416"/>
        </w:trPr>
        <w:tc>
          <w:tcPr>
            <w:tcW w:w="1129" w:type="dxa"/>
            <w:vMerge/>
          </w:tcPr>
          <w:p w14:paraId="5F5FB81B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7626D0C0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• cheltuieli cu servicii informatice și programe web;</w:t>
            </w:r>
          </w:p>
        </w:tc>
        <w:tc>
          <w:tcPr>
            <w:tcW w:w="3544" w:type="dxa"/>
          </w:tcPr>
          <w:p w14:paraId="4A235A00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106 –” Cheltuieli cu servicii IT, de dezvoltare/actualizare aplicații, configurare baze de date, migrare structuri de date, etc”</w:t>
            </w:r>
          </w:p>
        </w:tc>
      </w:tr>
      <w:tr w:rsidR="00A35BC4" w:rsidRPr="00333279" w14:paraId="1F3CAC37" w14:textId="77777777" w:rsidTr="00C666CB">
        <w:trPr>
          <w:trHeight w:val="155"/>
        </w:trPr>
        <w:tc>
          <w:tcPr>
            <w:tcW w:w="1129" w:type="dxa"/>
            <w:vMerge/>
          </w:tcPr>
          <w:p w14:paraId="49F1636B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4C7FDE35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•  servicii de traducere;</w:t>
            </w:r>
          </w:p>
        </w:tc>
        <w:tc>
          <w:tcPr>
            <w:tcW w:w="3544" w:type="dxa"/>
          </w:tcPr>
          <w:p w14:paraId="607C6507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proiectului;</w:t>
            </w:r>
          </w:p>
        </w:tc>
      </w:tr>
      <w:tr w:rsidR="00A35BC4" w:rsidRPr="00333279" w14:paraId="01A11429" w14:textId="77777777" w:rsidTr="00C666CB">
        <w:trPr>
          <w:trHeight w:val="1134"/>
        </w:trPr>
        <w:tc>
          <w:tcPr>
            <w:tcW w:w="1129" w:type="dxa"/>
            <w:vMerge/>
          </w:tcPr>
          <w:p w14:paraId="75A77851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34BFC06D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de închiriere sau leasing imobiliar</w:t>
            </w:r>
          </w:p>
        </w:tc>
        <w:tc>
          <w:tcPr>
            <w:tcW w:w="3544" w:type="dxa"/>
          </w:tcPr>
          <w:p w14:paraId="01B77538" w14:textId="77777777" w:rsidR="00A35BC4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4 - cheltuieli de leasing, subcategoria 7 - cheltuieli de leasing cu achiziție sau 8 - cheltuieli de leasing fără achiziție</w:t>
            </w:r>
            <w:r w:rsidR="0095404E">
              <w:rPr>
                <w:rFonts w:cstheme="minorHAnsi"/>
                <w:lang w:val="ro-RO"/>
              </w:rPr>
              <w:t>;</w:t>
            </w:r>
          </w:p>
          <w:p w14:paraId="3B45D8F5" w14:textId="67F879B2" w:rsidR="0095404E" w:rsidRPr="00333279" w:rsidRDefault="0095404E" w:rsidP="00C666CB">
            <w:pPr>
              <w:jc w:val="both"/>
              <w:rPr>
                <w:rFonts w:cstheme="minorHAnsi"/>
                <w:lang w:val="ro-RO"/>
              </w:rPr>
            </w:pPr>
            <w:r w:rsidRPr="0095404E">
              <w:rPr>
                <w:rFonts w:cstheme="minorHAnsi"/>
                <w:lang w:val="ro-RO"/>
              </w:rPr>
              <w:t>Categoria 5 – cheltuieli cu închirierea, altele decât cele prevăzute la cheltuielile generale de administrație, sub-categoria 9:  cheltuieli cu închirierea, altele decât cele prevăzute la cheltuielile generale de administrație</w:t>
            </w:r>
          </w:p>
        </w:tc>
      </w:tr>
      <w:tr w:rsidR="00A35BC4" w:rsidRPr="00333279" w14:paraId="70F3B3F1" w14:textId="77777777" w:rsidTr="00C666CB">
        <w:trPr>
          <w:trHeight w:val="1416"/>
        </w:trPr>
        <w:tc>
          <w:tcPr>
            <w:tcW w:w="1129" w:type="dxa"/>
            <w:vMerge/>
          </w:tcPr>
          <w:p w14:paraId="1B8F249D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D7C6BF5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servicii reparații/ modernizare/ amenajare spații utilizate în cadrul proiectului;</w:t>
            </w:r>
          </w:p>
        </w:tc>
        <w:tc>
          <w:tcPr>
            <w:tcW w:w="3544" w:type="dxa"/>
          </w:tcPr>
          <w:p w14:paraId="094681F1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48931374" w14:textId="77777777" w:rsidTr="00C666CB">
        <w:trPr>
          <w:trHeight w:val="134"/>
        </w:trPr>
        <w:tc>
          <w:tcPr>
            <w:tcW w:w="1129" w:type="dxa"/>
            <w:vMerge/>
          </w:tcPr>
          <w:p w14:paraId="504B29FF" w14:textId="77777777" w:rsidR="00A35BC4" w:rsidRPr="00333279" w:rsidRDefault="00A35BC4" w:rsidP="00A35BC4">
            <w:pPr>
              <w:numPr>
                <w:ilvl w:val="0"/>
                <w:numId w:val="25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6E9708CE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alte servicii cu condiția ca acestea să fie demonstrate ca fiind necesare pentru implementarea proiectului.</w:t>
            </w:r>
          </w:p>
        </w:tc>
        <w:tc>
          <w:tcPr>
            <w:tcW w:w="3544" w:type="dxa"/>
          </w:tcPr>
          <w:p w14:paraId="3339B9A1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29 - cheltuieli cu servicii; sub-categoria 105 - cheltuieli cu servicii pentru derularea activităților proiectului</w:t>
            </w:r>
          </w:p>
        </w:tc>
      </w:tr>
      <w:tr w:rsidR="00A35BC4" w:rsidRPr="00333279" w14:paraId="0523AE25" w14:textId="77777777" w:rsidTr="00C666CB">
        <w:trPr>
          <w:trHeight w:val="1373"/>
        </w:trPr>
        <w:tc>
          <w:tcPr>
            <w:tcW w:w="1129" w:type="dxa"/>
            <w:vMerge w:val="restart"/>
            <w:textDirection w:val="btLr"/>
          </w:tcPr>
          <w:p w14:paraId="4D5E2B4C" w14:textId="77777777" w:rsidR="00A35BC4" w:rsidRPr="00333279" w:rsidRDefault="00A35BC4" w:rsidP="00C666CB">
            <w:pPr>
              <w:spacing w:after="160" w:line="259" w:lineRule="auto"/>
              <w:ind w:left="-77" w:right="113"/>
              <w:contextualSpacing/>
              <w:jc w:val="right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lastRenderedPageBreak/>
              <w:t>3.</w:t>
            </w:r>
            <w:r w:rsidRPr="00333279">
              <w:rPr>
                <w:rFonts w:cstheme="minorHAnsi"/>
                <w:lang w:val="ro-RO"/>
              </w:rPr>
              <w:t xml:space="preserve"> </w:t>
            </w:r>
            <w:r w:rsidRPr="00333279">
              <w:rPr>
                <w:rFonts w:cstheme="minorHAnsi"/>
                <w:b/>
                <w:bCs/>
                <w:lang w:val="ro-RO"/>
              </w:rPr>
              <w:t>Cheltuieli pentru investiții/bunuri necesare desfasurarii activitatii</w:t>
            </w:r>
          </w:p>
        </w:tc>
        <w:tc>
          <w:tcPr>
            <w:tcW w:w="3266" w:type="dxa"/>
          </w:tcPr>
          <w:p w14:paraId="30AFDA80" w14:textId="77777777" w:rsidR="00A35BC4" w:rsidRPr="00333279" w:rsidRDefault="00A35BC4" w:rsidP="00A35BC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echipamente IT inclusiv servere și echipamente de rețea</w:t>
            </w:r>
          </w:p>
          <w:p w14:paraId="655E3CCF" w14:textId="77777777" w:rsidR="00A35BC4" w:rsidRPr="00333279" w:rsidRDefault="00A35BC4" w:rsidP="00C666CB">
            <w:pPr>
              <w:spacing w:after="160" w:line="259" w:lineRule="auto"/>
              <w:contextualSpacing/>
              <w:jc w:val="both"/>
              <w:rPr>
                <w:rFonts w:cstheme="minorHAnsi"/>
                <w:lang w:val="ro-RO"/>
              </w:rPr>
            </w:pPr>
          </w:p>
          <w:p w14:paraId="6B4FC902" w14:textId="77777777" w:rsidR="00A35BC4" w:rsidRPr="00333279" w:rsidRDefault="00A35BC4" w:rsidP="00C666CB">
            <w:pPr>
              <w:spacing w:after="160" w:line="259" w:lineRule="auto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6EDF3C92" w14:textId="77777777" w:rsidR="00A35BC4" w:rsidRPr="00333279" w:rsidRDefault="00A35BC4" w:rsidP="00C666CB">
            <w:pPr>
              <w:spacing w:after="160" w:line="259" w:lineRule="auto"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21 ”Cheltuieli cu achiziția de active fixe corporale (altele decât terenuri și imobile), obiecte de inventar, materii prime și materiale, inclusiv materiale consumabile”</w:t>
            </w:r>
          </w:p>
        </w:tc>
      </w:tr>
      <w:tr w:rsidR="00A35BC4" w:rsidRPr="00333279" w14:paraId="3C2CD9A6" w14:textId="77777777" w:rsidTr="00C666CB">
        <w:trPr>
          <w:trHeight w:val="1093"/>
        </w:trPr>
        <w:tc>
          <w:tcPr>
            <w:tcW w:w="1129" w:type="dxa"/>
            <w:vMerge/>
          </w:tcPr>
          <w:p w14:paraId="44DC73B8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8502F1C" w14:textId="77777777" w:rsidR="00A35BC4" w:rsidRPr="00333279" w:rsidRDefault="00A35BC4" w:rsidP="00C666CB">
            <w:pPr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•</w:t>
            </w:r>
            <w:r w:rsidRPr="00333279">
              <w:rPr>
                <w:rFonts w:cstheme="minorHAnsi"/>
                <w:lang w:val="ro-RO"/>
              </w:rPr>
              <w:tab/>
              <w:t>licențe Software  (permanente sau anuale);</w:t>
            </w:r>
          </w:p>
          <w:p w14:paraId="172C3A23" w14:textId="77777777" w:rsidR="00A35BC4" w:rsidRPr="00333279" w:rsidRDefault="00A35BC4" w:rsidP="00C666CB">
            <w:pPr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16BF18F3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22 ”Cheltuieli cu achiziția de active necorporale”; sub-categoria 76 ”Cheltuieli cu achiziția de active necorporale”</w:t>
            </w:r>
          </w:p>
        </w:tc>
      </w:tr>
      <w:tr w:rsidR="00A35BC4" w:rsidRPr="00333279" w14:paraId="543B3773" w14:textId="77777777" w:rsidTr="00C666CB">
        <w:trPr>
          <w:trHeight w:val="1408"/>
        </w:trPr>
        <w:tc>
          <w:tcPr>
            <w:tcW w:w="1129" w:type="dxa"/>
            <w:vMerge/>
          </w:tcPr>
          <w:p w14:paraId="1FA69810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52460B9" w14:textId="77777777" w:rsidR="00A35BC4" w:rsidRPr="00333279" w:rsidRDefault="00A35BC4" w:rsidP="00A35BC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Achiziția de autoturisme, cu condiția să fie demonstrate ca fiind necesare pentru implementare și să fie utilizate doar de AM;</w:t>
            </w:r>
          </w:p>
        </w:tc>
        <w:tc>
          <w:tcPr>
            <w:tcW w:w="3544" w:type="dxa"/>
          </w:tcPr>
          <w:p w14:paraId="6F9F7AE9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6 ”Cheltuieli cu achiziția mijloacelor de transport”, sub-categoria 13 ”Cheltuieli cu achiziția mijloacelor de transport pentru AT art.59”</w:t>
            </w:r>
          </w:p>
        </w:tc>
      </w:tr>
      <w:tr w:rsidR="00A35BC4" w:rsidRPr="00333279" w14:paraId="3FE1C83C" w14:textId="77777777" w:rsidTr="00C666CB">
        <w:trPr>
          <w:trHeight w:val="44"/>
        </w:trPr>
        <w:tc>
          <w:tcPr>
            <w:tcW w:w="1129" w:type="dxa"/>
            <w:vMerge/>
          </w:tcPr>
          <w:p w14:paraId="7ECB2BE3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535F9FFF" w14:textId="77777777" w:rsidR="00A35BC4" w:rsidRPr="00333279" w:rsidRDefault="00A35BC4" w:rsidP="00A35BC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180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stații încărcare pentru autoturisme electrice;</w:t>
            </w:r>
          </w:p>
        </w:tc>
        <w:tc>
          <w:tcPr>
            <w:tcW w:w="3544" w:type="dxa"/>
          </w:tcPr>
          <w:p w14:paraId="1689CF48" w14:textId="5C416FEB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Categoria 15 -  cheltuieli pentru investiția de bază, sub-categoria  </w:t>
            </w:r>
            <w:r w:rsidR="006A2C1E">
              <w:rPr>
                <w:rFonts w:cstheme="minorHAnsi"/>
                <w:lang w:val="ro-RO"/>
              </w:rPr>
              <w:t>5</w:t>
            </w:r>
            <w:r w:rsidRPr="00333279">
              <w:rPr>
                <w:rFonts w:cstheme="minorHAnsi"/>
                <w:lang w:val="ro-RO"/>
              </w:rPr>
              <w:t>4 - cheltuieli cu achiziția de mijloace de transport indispensabile pentru atingerea obiectivului operațiunii</w:t>
            </w:r>
          </w:p>
        </w:tc>
      </w:tr>
      <w:tr w:rsidR="00A35BC4" w:rsidRPr="00333279" w14:paraId="171358B9" w14:textId="77777777" w:rsidTr="00C666CB">
        <w:trPr>
          <w:trHeight w:val="842"/>
        </w:trPr>
        <w:tc>
          <w:tcPr>
            <w:tcW w:w="1129" w:type="dxa"/>
            <w:vMerge/>
          </w:tcPr>
          <w:p w14:paraId="53CB7FC9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40F221A1" w14:textId="77777777" w:rsidR="00A35BC4" w:rsidRPr="00333279" w:rsidRDefault="00A35BC4" w:rsidP="00A35BC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180"/>
              <w:jc w:val="both"/>
              <w:rPr>
                <w:rFonts w:cstheme="minorHAnsi"/>
              </w:rPr>
            </w:pPr>
            <w:r w:rsidRPr="00333279">
              <w:rPr>
                <w:rFonts w:cstheme="minorHAnsi"/>
              </w:rPr>
              <w:t>achiziționarea şi instalarea de sisteme şi echipamente pentru persoane cu dizabilități;</w:t>
            </w:r>
          </w:p>
          <w:p w14:paraId="2400EEA3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2CFB230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21 - cheltuieli cu achiziția de active fixe corporale (altele decât terenuri și imobile), obiecte de inventar, materii prime și materiale, inclusiv materiale consumabile, sub-categoria 64 - cheltuieli cu achiziția de active fixe corporale (altele decât terenuri și imobile), obiecte de inventar, materiale consumabile;</w:t>
            </w:r>
          </w:p>
          <w:p w14:paraId="04F3C684" w14:textId="77777777" w:rsidR="00A35BC4" w:rsidRPr="00333279" w:rsidRDefault="00A35BC4" w:rsidP="00C666CB">
            <w:pPr>
              <w:jc w:val="both"/>
              <w:rPr>
                <w:rFonts w:cstheme="minorHAnsi"/>
                <w:color w:val="FF0000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22 - cheltuieli cu achiziția de active necorporale; sub-categoria 76 - cheltuieli cu achiziția de active necorporale;</w:t>
            </w:r>
          </w:p>
        </w:tc>
      </w:tr>
      <w:tr w:rsidR="00A35BC4" w:rsidRPr="00333279" w14:paraId="1286C128" w14:textId="77777777" w:rsidTr="00C666CB">
        <w:trPr>
          <w:trHeight w:val="44"/>
        </w:trPr>
        <w:tc>
          <w:tcPr>
            <w:tcW w:w="1129" w:type="dxa"/>
            <w:vMerge/>
          </w:tcPr>
          <w:p w14:paraId="5C3F6F79" w14:textId="77777777" w:rsidR="00A35BC4" w:rsidRPr="00333279" w:rsidRDefault="00A35BC4" w:rsidP="00A35BC4">
            <w:pPr>
              <w:numPr>
                <w:ilvl w:val="0"/>
                <w:numId w:val="26"/>
              </w:numPr>
              <w:contextualSpacing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66" w:type="dxa"/>
          </w:tcPr>
          <w:p w14:paraId="08A44CA0" w14:textId="77777777" w:rsidR="00A35BC4" w:rsidRPr="00333279" w:rsidRDefault="00A35BC4" w:rsidP="00A35BC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</w:rPr>
            </w:pPr>
          </w:p>
          <w:p w14:paraId="221C5D89" w14:textId="77777777" w:rsidR="00A35BC4" w:rsidRPr="00333279" w:rsidRDefault="00A35BC4" w:rsidP="00A35BC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180"/>
              <w:rPr>
                <w:rFonts w:cstheme="minorHAnsi"/>
              </w:rPr>
            </w:pPr>
            <w:r w:rsidRPr="00333279">
              <w:rPr>
                <w:rFonts w:cstheme="minorHAnsi"/>
              </w:rPr>
              <w:t>Cheltuielile cu bunuri precum materiale consumabile, piese de schimb, mobilierul, echipamentele, obiecte de inventar și alte active corporale și necorporale necesare dotarii spatiilor utilizate de AM.</w:t>
            </w:r>
          </w:p>
          <w:p w14:paraId="353D0838" w14:textId="77777777" w:rsidR="00A35BC4" w:rsidRPr="00333279" w:rsidRDefault="00A35BC4" w:rsidP="00A35BC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</w:rPr>
            </w:pPr>
          </w:p>
          <w:p w14:paraId="01710FB5" w14:textId="77777777" w:rsidR="00A35BC4" w:rsidRPr="00333279" w:rsidRDefault="00A35BC4" w:rsidP="00A35BC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6974518B" w14:textId="77777777" w:rsidR="00A35BC4" w:rsidRPr="00333279" w:rsidRDefault="00A35BC4" w:rsidP="00C666CB">
            <w:pPr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21 - cheltuieli cu achiziția de active fixe corporale (altele decât terenuri și imobile), obiecte de inventar, materii prime și materiale, inclusiv materiale consumabile, sub-categoria 64 - cheltuieli cu achiziția de active fixe corporale (altele decât terenuri și imobile), obiecte de inventar, materiale consumabile;</w:t>
            </w:r>
          </w:p>
          <w:p w14:paraId="2E692394" w14:textId="77777777" w:rsidR="00A35BC4" w:rsidRPr="00333279" w:rsidRDefault="00A35BC4" w:rsidP="00C666CB">
            <w:pPr>
              <w:jc w:val="both"/>
              <w:rPr>
                <w:rFonts w:cstheme="minorHAnsi"/>
                <w:color w:val="FF0000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Categoria 22 - cheltuieli cu achiziția de active necorporale; sub-categoria 76 - cheltuieli cu achiziția de active necorporale;</w:t>
            </w:r>
          </w:p>
        </w:tc>
      </w:tr>
      <w:tr w:rsidR="00A35BC4" w:rsidRPr="00333279" w14:paraId="39C43DDA" w14:textId="77777777" w:rsidTr="00C666CB">
        <w:trPr>
          <w:cantSplit/>
          <w:trHeight w:val="1134"/>
        </w:trPr>
        <w:tc>
          <w:tcPr>
            <w:tcW w:w="1129" w:type="dxa"/>
            <w:textDirection w:val="btLr"/>
          </w:tcPr>
          <w:p w14:paraId="56ACCD95" w14:textId="77777777" w:rsidR="00A35BC4" w:rsidRPr="00333279" w:rsidRDefault="00A35BC4" w:rsidP="00A35BC4">
            <w:pPr>
              <w:numPr>
                <w:ilvl w:val="0"/>
                <w:numId w:val="27"/>
              </w:numPr>
              <w:spacing w:after="160" w:line="259" w:lineRule="auto"/>
              <w:ind w:right="113"/>
              <w:contextualSpacing/>
              <w:jc w:val="right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b/>
                <w:bCs/>
                <w:lang w:val="ro-RO"/>
              </w:rPr>
              <w:t>Cheltuieli generale de administrație</w:t>
            </w:r>
          </w:p>
        </w:tc>
        <w:tc>
          <w:tcPr>
            <w:tcW w:w="3266" w:type="dxa"/>
          </w:tcPr>
          <w:p w14:paraId="3E57B3DB" w14:textId="77777777" w:rsidR="00A35BC4" w:rsidRPr="00333279" w:rsidRDefault="00A35BC4" w:rsidP="00C666CB">
            <w:pPr>
              <w:spacing w:after="160" w:line="259" w:lineRule="auto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Costurile rambursate prin aplicarea ratei forfetare sunt constituite din costurile indirecte generate in cadrul proiectului - cheltuielile generale de administrație, care se vor calcula prin aplicarea unei rate forfetare de 15% din costurile eligibile </w:t>
            </w:r>
            <w:r w:rsidRPr="00333279">
              <w:rPr>
                <w:rFonts w:cstheme="minorHAnsi"/>
                <w:lang w:val="ro-RO"/>
              </w:rPr>
              <w:lastRenderedPageBreak/>
              <w:t>directe cu personalul angajat și pot fi reprezentate de:</w:t>
            </w:r>
          </w:p>
          <w:p w14:paraId="459BB386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bookmarkStart w:id="35" w:name="_Hlk141358988"/>
            <w:r w:rsidRPr="00333279">
              <w:rPr>
                <w:rFonts w:cstheme="minorHAnsi"/>
                <w:lang w:val="ro-RO"/>
              </w:rPr>
              <w:t>telefon, fax, poştă şi Internet, infrastructură de rețele de comunicații interne (de ex: cablaj);</w:t>
            </w:r>
          </w:p>
          <w:p w14:paraId="0142E2CA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chirii spatii ADRBI (altele decât cele alocate integral activității AM)</w:t>
            </w:r>
          </w:p>
          <w:p w14:paraId="7E032151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închiriere mijloace de transport;</w:t>
            </w:r>
          </w:p>
          <w:p w14:paraId="59221AA2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utilități (energie termică, energie electrică, apă, canalizare, salubritate, gaze natural);</w:t>
            </w:r>
          </w:p>
          <w:p w14:paraId="0C64A820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materiale şi servicii întreținere sediu.</w:t>
            </w:r>
          </w:p>
          <w:p w14:paraId="0C927CFD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 xml:space="preserve"> cheltuieli cu legislaţia (achiziţia de publicaţii/abonamente la publicaţii, în format tipărit şi/sau electronic, abonamente pentru softul de consultare legislativă, relevante pentru implementarea PR);</w:t>
            </w:r>
          </w:p>
          <w:p w14:paraId="6AD1B393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costurile cu personalul administrativ;</w:t>
            </w:r>
          </w:p>
          <w:p w14:paraId="09E2FB0D" w14:textId="77777777" w:rsidR="00A35BC4" w:rsidRPr="00333279" w:rsidRDefault="00A35BC4" w:rsidP="00A35BC4">
            <w:pPr>
              <w:numPr>
                <w:ilvl w:val="0"/>
                <w:numId w:val="24"/>
              </w:numPr>
              <w:spacing w:after="160" w:line="259" w:lineRule="auto"/>
              <w:ind w:left="180" w:hanging="142"/>
              <w:contextualSpacing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t>alte costuri administrative</w:t>
            </w:r>
            <w:bookmarkEnd w:id="35"/>
          </w:p>
        </w:tc>
        <w:tc>
          <w:tcPr>
            <w:tcW w:w="3544" w:type="dxa"/>
          </w:tcPr>
          <w:p w14:paraId="63C5E3E2" w14:textId="77777777" w:rsidR="00A35BC4" w:rsidRPr="00333279" w:rsidRDefault="00A35BC4" w:rsidP="00C666CB">
            <w:pPr>
              <w:spacing w:after="160" w:line="259" w:lineRule="auto"/>
              <w:contextualSpacing/>
              <w:jc w:val="both"/>
              <w:rPr>
                <w:rFonts w:cstheme="minorHAnsi"/>
                <w:lang w:val="ro-RO"/>
              </w:rPr>
            </w:pPr>
            <w:r w:rsidRPr="00333279">
              <w:rPr>
                <w:rFonts w:cstheme="minorHAnsi"/>
                <w:lang w:val="ro-RO"/>
              </w:rPr>
              <w:lastRenderedPageBreak/>
              <w:t>Categorie 10 - cheltuieli generale de administrație, sub-categorie 30 -cheltuieli generale de administrație (indirecte pe baza de costuri reale)</w:t>
            </w:r>
          </w:p>
        </w:tc>
      </w:tr>
    </w:tbl>
    <w:p w14:paraId="63C1766D" w14:textId="77777777" w:rsidR="00555964" w:rsidRPr="00261443" w:rsidRDefault="00555964" w:rsidP="00555964">
      <w:pPr>
        <w:tabs>
          <w:tab w:val="left" w:pos="1560"/>
        </w:tabs>
        <w:spacing w:before="120" w:after="120"/>
        <w:rPr>
          <w:rFonts w:asciiTheme="minorHAnsi" w:hAnsiTheme="minorHAnsi" w:cstheme="minorHAnsi"/>
          <w:color w:val="27344C"/>
          <w:sz w:val="22"/>
        </w:rPr>
      </w:pPr>
    </w:p>
    <w:p w14:paraId="0FE92052" w14:textId="77777777" w:rsidR="00555964" w:rsidRPr="00261443" w:rsidRDefault="00555964" w:rsidP="0023775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napToGrid w:val="0"/>
        <w:spacing w:before="120" w:after="120"/>
        <w:ind w:left="2160" w:hanging="360"/>
        <w:jc w:val="both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Buget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–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Câmp</w:t>
      </w:r>
      <w:proofErr w:type="spellEnd"/>
      <w:r w:rsidRPr="00261443">
        <w:rPr>
          <w:rFonts w:asciiTheme="minorHAnsi" w:hAnsiTheme="minorHAnsi" w:cstheme="minorHAnsi"/>
          <w:color w:val="27344C"/>
          <w:sz w:val="22"/>
          <w:szCs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  <w:szCs w:val="22"/>
        </w:rPr>
        <w:t>intervenție</w:t>
      </w:r>
      <w:proofErr w:type="spellEnd"/>
    </w:p>
    <w:p w14:paraId="7D89B2C4" w14:textId="77777777" w:rsidR="00555964" w:rsidRPr="00261443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funcție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specificul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propuse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prin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selecta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codurile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intervenție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eligibilă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fiecare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cod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aferent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activităților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finanțate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>:</w:t>
      </w:r>
    </w:p>
    <w:p w14:paraId="269C0643" w14:textId="77777777" w:rsidR="00555964" w:rsidRPr="00261443" w:rsidRDefault="00555964" w:rsidP="00237757">
      <w:pPr>
        <w:pStyle w:val="BodyText"/>
        <w:widowControl w:val="0"/>
        <w:numPr>
          <w:ilvl w:val="0"/>
          <w:numId w:val="8"/>
        </w:numPr>
        <w:shd w:val="clear" w:color="auto" w:fill="FFFFFF"/>
        <w:snapToGrid w:val="0"/>
        <w:spacing w:before="120"/>
        <w:ind w:left="0" w:firstLine="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179.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Informare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comunicare</w:t>
      </w:r>
      <w:proofErr w:type="spellEnd"/>
    </w:p>
    <w:p w14:paraId="4AA8F1F6" w14:textId="77777777" w:rsidR="00555964" w:rsidRPr="00261443" w:rsidRDefault="00555964" w:rsidP="00237757">
      <w:pPr>
        <w:pStyle w:val="BodyText"/>
        <w:widowControl w:val="0"/>
        <w:numPr>
          <w:ilvl w:val="0"/>
          <w:numId w:val="8"/>
        </w:numPr>
        <w:shd w:val="clear" w:color="auto" w:fill="FFFFFF"/>
        <w:snapToGrid w:val="0"/>
        <w:spacing w:before="120"/>
        <w:ind w:left="0" w:firstLine="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180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Pregătire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implementare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monitorizare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control</w:t>
      </w:r>
    </w:p>
    <w:p w14:paraId="4E5737FE" w14:textId="77777777" w:rsidR="00555964" w:rsidRPr="00261443" w:rsidRDefault="00555964" w:rsidP="00237757">
      <w:pPr>
        <w:pStyle w:val="BodyText"/>
        <w:widowControl w:val="0"/>
        <w:numPr>
          <w:ilvl w:val="0"/>
          <w:numId w:val="8"/>
        </w:numPr>
        <w:shd w:val="clear" w:color="auto" w:fill="FFFFFF"/>
        <w:snapToGrid w:val="0"/>
        <w:spacing w:before="120"/>
        <w:ind w:left="0" w:firstLine="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181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Evaluare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studii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culegere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de date</w:t>
      </w:r>
    </w:p>
    <w:p w14:paraId="030BEC03" w14:textId="77777777" w:rsidR="00555964" w:rsidRPr="00261443" w:rsidRDefault="00555964" w:rsidP="00237757">
      <w:pPr>
        <w:pStyle w:val="BodyText"/>
        <w:widowControl w:val="0"/>
        <w:numPr>
          <w:ilvl w:val="0"/>
          <w:numId w:val="8"/>
        </w:numPr>
        <w:snapToGrid w:val="0"/>
        <w:spacing w:before="120"/>
        <w:ind w:left="0" w:firstLine="0"/>
        <w:jc w:val="both"/>
        <w:rPr>
          <w:rFonts w:asciiTheme="minorHAnsi" w:hAnsiTheme="minorHAnsi" w:cstheme="minorHAnsi"/>
          <w:color w:val="27344C"/>
          <w:sz w:val="22"/>
        </w:rPr>
      </w:pPr>
      <w:r w:rsidRPr="00261443">
        <w:rPr>
          <w:rFonts w:asciiTheme="minorHAnsi" w:hAnsiTheme="minorHAnsi" w:cstheme="minorHAnsi"/>
          <w:b/>
          <w:bCs/>
          <w:color w:val="27344C"/>
          <w:sz w:val="22"/>
        </w:rPr>
        <w:t>182</w:t>
      </w:r>
      <w:r w:rsidRPr="00261443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Consolidarea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capacității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autorităților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din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statele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membre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beneficiarilor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partenerilor</w:t>
      </w:r>
      <w:proofErr w:type="spellEnd"/>
      <w:r w:rsidRPr="00261443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261443">
        <w:rPr>
          <w:rFonts w:asciiTheme="minorHAnsi" w:hAnsiTheme="minorHAnsi" w:cstheme="minorHAnsi"/>
          <w:color w:val="27344C"/>
          <w:sz w:val="22"/>
        </w:rPr>
        <w:t>relevanți</w:t>
      </w:r>
      <w:proofErr w:type="spellEnd"/>
    </w:p>
    <w:p w14:paraId="2542E797" w14:textId="400A45D1" w:rsidR="00555964" w:rsidRPr="00700635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700635">
        <w:rPr>
          <w:rFonts w:asciiTheme="minorHAnsi" w:hAnsiTheme="minorHAnsi" w:cstheme="minorHAnsi"/>
          <w:color w:val="27344C"/>
          <w:sz w:val="22"/>
        </w:rPr>
        <w:t xml:space="preserve">De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asemenea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toate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cererile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finanțare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,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indiferent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specificul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activităților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propuse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prin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proiect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, din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lista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derulanta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selecta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și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codul</w:t>
      </w:r>
      <w:proofErr w:type="spellEnd"/>
      <w:r w:rsidR="000646B7"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r w:rsidR="000646B7" w:rsidRPr="00700635">
        <w:rPr>
          <w:rFonts w:asciiTheme="minorHAnsi" w:hAnsiTheme="minorHAnsi" w:cstheme="minorHAnsi"/>
          <w:b/>
          <w:bCs/>
          <w:color w:val="27344C"/>
          <w:sz w:val="22"/>
        </w:rPr>
        <w:t>03</w:t>
      </w:r>
      <w:r w:rsidRPr="00700635">
        <w:rPr>
          <w:rFonts w:asciiTheme="minorHAnsi" w:hAnsiTheme="minorHAnsi" w:cstheme="minorHAnsi"/>
          <w:color w:val="27344C"/>
          <w:sz w:val="22"/>
        </w:rPr>
        <w:t xml:space="preserve">.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Neutralitatea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de gen (conform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prevederilor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Regulamentului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(UE) 1060/2021,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Tabelul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7: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Coduri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dimensiunea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egalității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de gen),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pentru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care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rubrica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privind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valoarea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eligibilă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a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proiectului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se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cu </w:t>
      </w:r>
      <w:r w:rsidRPr="00700635">
        <w:rPr>
          <w:rFonts w:asciiTheme="minorHAnsi" w:hAnsiTheme="minorHAnsi" w:cstheme="minorHAnsi"/>
          <w:b/>
          <w:bCs/>
          <w:color w:val="27344C"/>
          <w:sz w:val="22"/>
        </w:rPr>
        <w:t>0</w:t>
      </w:r>
      <w:r w:rsidRPr="00700635">
        <w:rPr>
          <w:rFonts w:asciiTheme="minorHAnsi" w:hAnsiTheme="minorHAnsi" w:cstheme="minorHAnsi"/>
          <w:color w:val="27344C"/>
          <w:sz w:val="22"/>
        </w:rPr>
        <w:t>.</w:t>
      </w:r>
    </w:p>
    <w:p w14:paraId="65252F6D" w14:textId="7081E122" w:rsidR="00553DC0" w:rsidRPr="00700635" w:rsidRDefault="00553DC0" w:rsidP="00553DC0">
      <w:pPr>
        <w:pStyle w:val="BodyText"/>
        <w:snapToGrid w:val="0"/>
        <w:spacing w:before="120"/>
        <w:jc w:val="center"/>
        <w:rPr>
          <w:rFonts w:asciiTheme="minorHAnsi" w:hAnsiTheme="minorHAnsi" w:cstheme="minorHAnsi"/>
          <w:b/>
          <w:bCs/>
          <w:color w:val="27344C"/>
          <w:sz w:val="22"/>
        </w:rPr>
      </w:pPr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24.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Secțiunea</w:t>
      </w:r>
      <w:proofErr w:type="spellEnd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Buget</w:t>
      </w:r>
      <w:proofErr w:type="spellEnd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 –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Formă</w:t>
      </w:r>
      <w:proofErr w:type="spellEnd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 de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finanțare</w:t>
      </w:r>
      <w:proofErr w:type="spellEnd"/>
    </w:p>
    <w:p w14:paraId="32320035" w14:textId="77777777" w:rsidR="00553DC0" w:rsidRPr="00700635" w:rsidRDefault="00553DC0" w:rsidP="00553DC0">
      <w:pPr>
        <w:spacing w:before="120"/>
        <w:rPr>
          <w:rFonts w:asciiTheme="minorHAnsi" w:eastAsia="Times New Roman" w:hAnsiTheme="minorHAnsi" w:cstheme="minorHAnsi"/>
          <w:b/>
          <w:bCs/>
          <w:sz w:val="22"/>
          <w:lang w:val="ro-RO"/>
        </w:rPr>
      </w:pPr>
      <w:r w:rsidRPr="00700635">
        <w:rPr>
          <w:rFonts w:asciiTheme="minorHAnsi" w:eastAsia="Times New Roman" w:hAnsiTheme="minorHAnsi" w:cstheme="minorHAnsi"/>
          <w:sz w:val="22"/>
          <w:lang w:val="ro-RO"/>
        </w:rPr>
        <w:t xml:space="preserve">Se selectează din nomenclator opțiunea 01 – </w:t>
      </w:r>
      <w:r w:rsidRPr="00700635">
        <w:rPr>
          <w:rFonts w:asciiTheme="minorHAnsi" w:eastAsia="Times New Roman" w:hAnsiTheme="minorHAnsi" w:cstheme="minorHAnsi"/>
          <w:b/>
          <w:color w:val="0070C0"/>
          <w:sz w:val="22"/>
          <w:lang w:val="ro-RO" w:eastAsia="ro-RO"/>
        </w:rPr>
        <w:t>Grant nerambursabil</w:t>
      </w:r>
      <w:r w:rsidRPr="00700635">
        <w:rPr>
          <w:rFonts w:asciiTheme="minorHAnsi" w:eastAsia="Times New Roman" w:hAnsiTheme="minorHAnsi" w:cstheme="minorHAnsi"/>
          <w:sz w:val="22"/>
          <w:lang w:val="ro-RO"/>
        </w:rPr>
        <w:t xml:space="preserve"> pentru proiectele depuse în cadrul prezentului apel şi se i</w:t>
      </w:r>
      <w:r w:rsidRPr="00700635">
        <w:rPr>
          <w:rFonts w:asciiTheme="minorHAnsi" w:eastAsia="Times New Roman" w:hAnsiTheme="minorHAnsi" w:cstheme="minorHAnsi"/>
          <w:sz w:val="22"/>
          <w:lang w:val="ro-RO" w:eastAsia="ro-RO"/>
        </w:rPr>
        <w:t>ntroduce valoarea eligibilă a proiectului.</w:t>
      </w:r>
    </w:p>
    <w:p w14:paraId="41A6D508" w14:textId="0DA3599B" w:rsidR="00553DC0" w:rsidRPr="00700635" w:rsidRDefault="00553DC0" w:rsidP="00553DC0">
      <w:pPr>
        <w:pStyle w:val="BodyText"/>
        <w:tabs>
          <w:tab w:val="left" w:pos="3124"/>
        </w:tabs>
        <w:snapToGrid w:val="0"/>
        <w:spacing w:before="120"/>
        <w:rPr>
          <w:rFonts w:asciiTheme="minorHAnsi" w:hAnsiTheme="minorHAnsi" w:cstheme="minorHAnsi"/>
          <w:b/>
          <w:bCs/>
          <w:color w:val="27344C"/>
          <w:sz w:val="22"/>
          <w:lang w:val="ro-RO"/>
        </w:rPr>
      </w:pPr>
      <w:r w:rsidRPr="00700635">
        <w:rPr>
          <w:rFonts w:asciiTheme="minorHAnsi" w:hAnsiTheme="minorHAnsi" w:cstheme="minorHAnsi"/>
          <w:b/>
          <w:bCs/>
          <w:color w:val="27344C"/>
          <w:sz w:val="22"/>
        </w:rPr>
        <w:tab/>
        <w:t xml:space="preserve">25.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Secțiunea</w:t>
      </w:r>
      <w:proofErr w:type="spellEnd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>Buget</w:t>
      </w:r>
      <w:proofErr w:type="spellEnd"/>
      <w:r w:rsidRPr="00700635">
        <w:rPr>
          <w:rFonts w:asciiTheme="minorHAnsi" w:hAnsiTheme="minorHAnsi" w:cstheme="minorHAnsi"/>
          <w:b/>
          <w:bCs/>
          <w:color w:val="27344C"/>
          <w:sz w:val="22"/>
        </w:rPr>
        <w:t xml:space="preserve"> - </w:t>
      </w:r>
      <w:r w:rsidRPr="00700635">
        <w:rPr>
          <w:rFonts w:asciiTheme="minorHAnsi" w:hAnsiTheme="minorHAnsi" w:cstheme="minorHAnsi"/>
          <w:b/>
          <w:bCs/>
          <w:color w:val="27344C"/>
          <w:sz w:val="22"/>
          <w:lang w:val="ro-RO"/>
        </w:rPr>
        <w:t>Tip teritoriu (secţiune obligatorie)</w:t>
      </w:r>
    </w:p>
    <w:p w14:paraId="4107FFB1" w14:textId="77777777" w:rsidR="00553DC0" w:rsidRPr="00700635" w:rsidRDefault="00553DC0" w:rsidP="00553DC0">
      <w:pPr>
        <w:spacing w:before="120"/>
        <w:rPr>
          <w:rFonts w:asciiTheme="minorHAnsi" w:eastAsia="Times New Roman" w:hAnsiTheme="minorHAnsi" w:cstheme="minorHAnsi"/>
          <w:sz w:val="22"/>
          <w:lang w:val="ro-RO" w:eastAsia="ro-RO"/>
        </w:rPr>
      </w:pPr>
      <w:r w:rsidRPr="00700635">
        <w:rPr>
          <w:rFonts w:asciiTheme="minorHAnsi" w:eastAsia="Times New Roman" w:hAnsiTheme="minorHAnsi" w:cstheme="minorHAnsi"/>
          <w:sz w:val="22"/>
          <w:lang w:val="ro-RO" w:eastAsia="ro-RO"/>
        </w:rPr>
        <w:t>Se va menționa codul aplicabil de mai jos luându-se în considerare populaţia localităţii în care se implementează proiectul</w:t>
      </w:r>
      <w:r w:rsidRPr="00700635">
        <w:rPr>
          <w:rFonts w:asciiTheme="minorHAnsi" w:eastAsia="Times New Roman" w:hAnsiTheme="minorHAnsi" w:cstheme="minorHAnsi"/>
          <w:sz w:val="22"/>
          <w:lang w:eastAsia="ro-RO"/>
        </w:rPr>
        <w:t>:</w:t>
      </w:r>
    </w:p>
    <w:p w14:paraId="55226A94" w14:textId="44D4B5C6" w:rsidR="00553DC0" w:rsidRPr="00700635" w:rsidRDefault="00FD568F" w:rsidP="00553DC0">
      <w:pPr>
        <w:spacing w:before="120"/>
        <w:rPr>
          <w:rFonts w:asciiTheme="minorHAnsi" w:eastAsia="Times New Roman" w:hAnsiTheme="minorHAnsi" w:cstheme="minorHAnsi"/>
          <w:sz w:val="22"/>
          <w:lang w:val="ro-RO" w:eastAsia="ro-RO"/>
        </w:rPr>
      </w:pPr>
      <w:r w:rsidRPr="00700635">
        <w:rPr>
          <w:rFonts w:asciiTheme="minorHAnsi" w:eastAsia="Times New Roman" w:hAnsiTheme="minorHAnsi" w:cstheme="minorHAnsi"/>
          <w:sz w:val="22"/>
          <w:lang w:val="en-GB" w:eastAsia="ro-RO"/>
        </w:rPr>
        <w:t xml:space="preserve">Nu se </w:t>
      </w:r>
      <w:proofErr w:type="spellStart"/>
      <w:r w:rsidRPr="00700635">
        <w:rPr>
          <w:rFonts w:asciiTheme="minorHAnsi" w:eastAsia="Times New Roman" w:hAnsiTheme="minorHAnsi" w:cstheme="minorHAnsi"/>
          <w:sz w:val="22"/>
          <w:lang w:val="en-GB" w:eastAsia="ro-RO"/>
        </w:rPr>
        <w:t>aplica</w:t>
      </w:r>
      <w:proofErr w:type="spellEnd"/>
      <w:r w:rsidRPr="00700635">
        <w:rPr>
          <w:rFonts w:asciiTheme="minorHAnsi" w:eastAsia="Times New Roman" w:hAnsiTheme="minorHAnsi" w:cstheme="minorHAnsi"/>
          <w:sz w:val="22"/>
          <w:lang w:val="en-GB" w:eastAsia="ro-RO"/>
        </w:rPr>
        <w:t xml:space="preserve"> 07</w:t>
      </w:r>
      <w:r w:rsidR="00553DC0" w:rsidRPr="00700635">
        <w:rPr>
          <w:rFonts w:asciiTheme="minorHAnsi" w:eastAsia="Times New Roman" w:hAnsiTheme="minorHAnsi" w:cstheme="minorHAnsi"/>
          <w:sz w:val="22"/>
          <w:lang w:val="ro-RO" w:eastAsia="ro-RO"/>
        </w:rPr>
        <w:tab/>
      </w:r>
    </w:p>
    <w:p w14:paraId="429DD8D6" w14:textId="4D8491A9" w:rsidR="00553DC0" w:rsidRPr="00700635" w:rsidRDefault="00553DC0" w:rsidP="00553DC0">
      <w:pPr>
        <w:spacing w:before="120"/>
        <w:rPr>
          <w:rFonts w:asciiTheme="minorHAnsi" w:eastAsia="Times New Roman" w:hAnsiTheme="minorHAnsi" w:cstheme="minorHAnsi"/>
          <w:sz w:val="22"/>
          <w:lang w:val="ro-RO" w:eastAsia="ro-RO"/>
        </w:rPr>
      </w:pPr>
      <w:r w:rsidRPr="00700635">
        <w:rPr>
          <w:rFonts w:asciiTheme="minorHAnsi" w:eastAsia="Times New Roman" w:hAnsiTheme="minorHAnsi" w:cstheme="minorHAnsi"/>
          <w:sz w:val="22"/>
          <w:lang w:val="ro-RO" w:eastAsia="ro-RO"/>
        </w:rPr>
        <w:t>Introduceți valoarea eligibilă a proiectului pe fiecare cod în parte.</w:t>
      </w:r>
    </w:p>
    <w:p w14:paraId="71D4D4FC" w14:textId="0CFBCA86" w:rsidR="00553DC0" w:rsidRPr="00700635" w:rsidRDefault="00553DC0" w:rsidP="00553DC0">
      <w:pPr>
        <w:spacing w:before="120"/>
        <w:rPr>
          <w:rFonts w:asciiTheme="minorHAnsi" w:eastAsia="Times New Roman" w:hAnsiTheme="minorHAnsi" w:cstheme="minorHAnsi"/>
          <w:sz w:val="22"/>
          <w:lang w:val="ro-RO" w:eastAsia="ro-RO"/>
        </w:rPr>
      </w:pPr>
    </w:p>
    <w:p w14:paraId="32953DA3" w14:textId="226A7095" w:rsidR="00553DC0" w:rsidRPr="00700635" w:rsidRDefault="00553DC0" w:rsidP="00553DC0">
      <w:pPr>
        <w:spacing w:before="120"/>
        <w:rPr>
          <w:rFonts w:asciiTheme="minorHAnsi" w:eastAsia="Times New Roman" w:hAnsiTheme="minorHAnsi" w:cstheme="minorHAnsi"/>
          <w:sz w:val="22"/>
          <w:lang w:val="ro-RO" w:eastAsia="ro-RO"/>
        </w:rPr>
      </w:pPr>
    </w:p>
    <w:p w14:paraId="686DB9DA" w14:textId="2247A72C" w:rsidR="00553DC0" w:rsidRPr="00700635" w:rsidRDefault="00553DC0" w:rsidP="00553DC0">
      <w:pPr>
        <w:spacing w:before="120"/>
        <w:jc w:val="center"/>
        <w:rPr>
          <w:rFonts w:asciiTheme="minorHAnsi" w:eastAsia="Times New Roman" w:hAnsiTheme="minorHAnsi" w:cstheme="minorHAnsi"/>
          <w:b/>
          <w:bCs/>
          <w:sz w:val="22"/>
          <w:lang w:val="ro-RO" w:eastAsia="ro-RO"/>
        </w:rPr>
      </w:pPr>
      <w:r w:rsidRPr="00700635">
        <w:rPr>
          <w:rFonts w:asciiTheme="minorHAnsi" w:eastAsia="Times New Roman" w:hAnsiTheme="minorHAnsi" w:cstheme="minorHAnsi"/>
          <w:b/>
          <w:bCs/>
          <w:sz w:val="22"/>
          <w:lang w:val="ro-RO" w:eastAsia="ro-RO"/>
        </w:rPr>
        <w:t>26. Secțiunea Buget – Activitate economică (secţiune obligatorie)</w:t>
      </w:r>
    </w:p>
    <w:p w14:paraId="3346D4E6" w14:textId="77777777" w:rsidR="00FD568F" w:rsidRPr="00700635" w:rsidRDefault="00FD568F" w:rsidP="00FD568F">
      <w:pPr>
        <w:rPr>
          <w:rFonts w:asciiTheme="minorHAnsi" w:eastAsia="Calibri" w:hAnsiTheme="minorHAnsi" w:cstheme="minorHAnsi"/>
          <w:color w:val="333333"/>
          <w:sz w:val="22"/>
          <w:lang w:val="en-GB" w:eastAsia="en-GB"/>
        </w:rPr>
      </w:pPr>
    </w:p>
    <w:p w14:paraId="331FDCC0" w14:textId="08BC1A3A" w:rsidR="00FD568F" w:rsidRPr="00700635" w:rsidRDefault="00FD568F" w:rsidP="00FD568F">
      <w:pPr>
        <w:rPr>
          <w:rFonts w:asciiTheme="minorHAnsi" w:eastAsia="Calibri" w:hAnsiTheme="minorHAnsi" w:cstheme="minorHAnsi"/>
          <w:sz w:val="22"/>
          <w:lang w:val="en-GB" w:eastAsia="en-GB"/>
        </w:rPr>
      </w:pPr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Se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va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selecta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codul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24 - Alte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servicii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nespecificte</w:t>
      </w:r>
      <w:proofErr w:type="spellEnd"/>
    </w:p>
    <w:p w14:paraId="4EB139DE" w14:textId="393F4334" w:rsidR="00553DC0" w:rsidRPr="00700635" w:rsidRDefault="00FD568F" w:rsidP="00FD568F">
      <w:pPr>
        <w:rPr>
          <w:rFonts w:asciiTheme="minorHAnsi" w:eastAsia="Calibri" w:hAnsiTheme="minorHAnsi" w:cstheme="minorHAnsi"/>
          <w:sz w:val="22"/>
          <w:lang w:val="en-GB" w:eastAsia="en-GB"/>
        </w:rPr>
      </w:pP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Introduceți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valoarea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eligibilă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a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proiectului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pe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fiecare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cod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în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parte</w:t>
      </w:r>
      <w:proofErr w:type="spellEnd"/>
      <w:r w:rsidRPr="00700635">
        <w:rPr>
          <w:rFonts w:asciiTheme="minorHAnsi" w:eastAsia="Calibri" w:hAnsiTheme="minorHAnsi" w:cstheme="minorHAnsi"/>
          <w:color w:val="333333"/>
          <w:sz w:val="22"/>
          <w:lang w:val="en-GB" w:eastAsia="en-GB"/>
        </w:rPr>
        <w:t>.  </w:t>
      </w:r>
    </w:p>
    <w:p w14:paraId="4B01E7E0" w14:textId="232948E1" w:rsidR="00FD568F" w:rsidRPr="00700635" w:rsidRDefault="00FD568F" w:rsidP="00FD568F">
      <w:pPr>
        <w:rPr>
          <w:rFonts w:asciiTheme="minorHAnsi" w:eastAsia="Calibri" w:hAnsiTheme="minorHAnsi" w:cstheme="minorHAnsi"/>
          <w:sz w:val="22"/>
          <w:lang w:val="en-GB" w:eastAsia="en-GB"/>
        </w:rPr>
      </w:pPr>
    </w:p>
    <w:p w14:paraId="01DDA4AD" w14:textId="49E76BA6" w:rsidR="00FD568F" w:rsidRPr="00700635" w:rsidRDefault="00FD568F" w:rsidP="00FD568F">
      <w:pPr>
        <w:jc w:val="center"/>
        <w:rPr>
          <w:rFonts w:asciiTheme="minorHAnsi" w:eastAsia="Calibri" w:hAnsiTheme="minorHAnsi" w:cstheme="minorHAnsi"/>
          <w:b/>
          <w:bCs/>
          <w:sz w:val="22"/>
          <w:lang w:val="en-GB" w:eastAsia="en-GB"/>
        </w:rPr>
      </w:pPr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 xml:space="preserve">27. </w:t>
      </w:r>
      <w:proofErr w:type="spellStart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Secțiunea</w:t>
      </w:r>
      <w:proofErr w:type="spellEnd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Buget</w:t>
      </w:r>
      <w:proofErr w:type="spellEnd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 xml:space="preserve"> - </w:t>
      </w:r>
      <w:proofErr w:type="spellStart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Mecanisme</w:t>
      </w:r>
      <w:proofErr w:type="spellEnd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aplic</w:t>
      </w:r>
      <w:proofErr w:type="spellEnd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 xml:space="preserve">. </w:t>
      </w:r>
      <w:proofErr w:type="spellStart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terit</w:t>
      </w:r>
      <w:proofErr w:type="spellEnd"/>
      <w:r w:rsidRPr="00700635">
        <w:rPr>
          <w:rFonts w:asciiTheme="minorHAnsi" w:eastAsia="Calibri" w:hAnsiTheme="minorHAnsi" w:cstheme="minorHAnsi"/>
          <w:b/>
          <w:bCs/>
          <w:sz w:val="22"/>
          <w:lang w:val="en-GB" w:eastAsia="en-GB"/>
        </w:rPr>
        <w:t>.</w:t>
      </w:r>
    </w:p>
    <w:p w14:paraId="4E199C11" w14:textId="3FAF96FE" w:rsidR="00FD568F" w:rsidRPr="00700635" w:rsidRDefault="00FD568F" w:rsidP="00FD568F">
      <w:pPr>
        <w:rPr>
          <w:rFonts w:asciiTheme="minorHAnsi" w:hAnsiTheme="minorHAnsi" w:cstheme="minorHAnsi"/>
          <w:color w:val="27344C"/>
          <w:sz w:val="22"/>
        </w:rPr>
      </w:pPr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 xml:space="preserve">Se </w:t>
      </w:r>
      <w:proofErr w:type="spellStart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>va</w:t>
      </w:r>
      <w:proofErr w:type="spellEnd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 xml:space="preserve"> selecta </w:t>
      </w:r>
      <w:proofErr w:type="spellStart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>codul</w:t>
      </w:r>
      <w:proofErr w:type="spellEnd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 xml:space="preserve"> </w:t>
      </w:r>
      <w:proofErr w:type="spellStart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>codul</w:t>
      </w:r>
      <w:proofErr w:type="spellEnd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 xml:space="preserve"> 07 - Nu se </w:t>
      </w:r>
      <w:proofErr w:type="spellStart"/>
      <w:r w:rsidRPr="00700635">
        <w:rPr>
          <w:rFonts w:asciiTheme="minorHAnsi" w:eastAsia="Calibri" w:hAnsiTheme="minorHAnsi" w:cstheme="minorHAnsi"/>
          <w:sz w:val="22"/>
          <w:lang w:val="en-GB" w:eastAsia="en-GB"/>
        </w:rPr>
        <w:t>aplica</w:t>
      </w:r>
      <w:proofErr w:type="spellEnd"/>
    </w:p>
    <w:p w14:paraId="12BB46D4" w14:textId="02C1078A" w:rsidR="00555964" w:rsidRPr="00700635" w:rsidRDefault="00700635" w:rsidP="00700635">
      <w:pPr>
        <w:pStyle w:val="Heading10"/>
        <w:keepNext/>
        <w:keepLines/>
        <w:shd w:val="clear" w:color="auto" w:fill="auto"/>
        <w:tabs>
          <w:tab w:val="left" w:pos="426"/>
        </w:tabs>
        <w:snapToGrid w:val="0"/>
        <w:spacing w:before="120" w:after="120"/>
        <w:ind w:firstLine="0"/>
        <w:jc w:val="center"/>
        <w:rPr>
          <w:rFonts w:asciiTheme="minorHAnsi" w:hAnsiTheme="minorHAnsi" w:cstheme="minorHAnsi"/>
          <w:b w:val="0"/>
          <w:bCs w:val="0"/>
          <w:color w:val="27344C"/>
          <w:sz w:val="22"/>
          <w:szCs w:val="22"/>
        </w:rPr>
      </w:pPr>
      <w:r w:rsidRPr="00700635">
        <w:rPr>
          <w:rFonts w:asciiTheme="minorHAnsi" w:hAnsiTheme="minorHAnsi" w:cstheme="minorHAnsi"/>
          <w:color w:val="27344C"/>
          <w:sz w:val="22"/>
          <w:szCs w:val="22"/>
        </w:rPr>
        <w:t xml:space="preserve">28. </w:t>
      </w:r>
      <w:proofErr w:type="spellStart"/>
      <w:r w:rsidR="00555964" w:rsidRPr="00700635">
        <w:rPr>
          <w:rFonts w:asciiTheme="minorHAnsi" w:hAnsiTheme="minorHAnsi" w:cstheme="minorHAnsi"/>
          <w:color w:val="27344C"/>
          <w:sz w:val="22"/>
          <w:szCs w:val="22"/>
        </w:rPr>
        <w:t>Secțiunea</w:t>
      </w:r>
      <w:proofErr w:type="spellEnd"/>
      <w:r w:rsidR="00555964" w:rsidRPr="00700635">
        <w:rPr>
          <w:rFonts w:asciiTheme="minorHAnsi" w:hAnsiTheme="minorHAnsi" w:cstheme="minorHAnsi"/>
          <w:color w:val="27344C"/>
          <w:sz w:val="22"/>
          <w:szCs w:val="22"/>
          <w:lang w:val="en-GB"/>
        </w:rPr>
        <w:t xml:space="preserve"> </w:t>
      </w:r>
      <w:proofErr w:type="spellStart"/>
      <w:r w:rsidR="00555964" w:rsidRPr="00700635">
        <w:rPr>
          <w:rFonts w:asciiTheme="minorHAnsi" w:hAnsiTheme="minorHAnsi" w:cstheme="minorHAnsi"/>
          <w:color w:val="27344C"/>
          <w:sz w:val="22"/>
          <w:szCs w:val="22"/>
          <w:lang w:val="en-GB"/>
        </w:rPr>
        <w:t>Graficul</w:t>
      </w:r>
      <w:proofErr w:type="spellEnd"/>
      <w:r w:rsidR="00555964" w:rsidRPr="00700635">
        <w:rPr>
          <w:rFonts w:asciiTheme="minorHAnsi" w:hAnsiTheme="minorHAnsi" w:cstheme="minorHAnsi"/>
          <w:color w:val="27344C"/>
          <w:sz w:val="22"/>
          <w:szCs w:val="22"/>
          <w:lang w:val="en-GB"/>
        </w:rPr>
        <w:t xml:space="preserve"> de </w:t>
      </w:r>
      <w:proofErr w:type="spellStart"/>
      <w:r w:rsidR="00555964" w:rsidRPr="00700635">
        <w:rPr>
          <w:rFonts w:asciiTheme="minorHAnsi" w:hAnsiTheme="minorHAnsi" w:cstheme="minorHAnsi"/>
          <w:color w:val="27344C"/>
          <w:sz w:val="22"/>
          <w:szCs w:val="22"/>
          <w:lang w:val="en-GB"/>
        </w:rPr>
        <w:t>rambursare</w:t>
      </w:r>
      <w:proofErr w:type="spellEnd"/>
    </w:p>
    <w:p w14:paraId="3598E49E" w14:textId="77777777" w:rsidR="00555964" w:rsidRPr="00700635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  <w:r w:rsidRPr="00700635">
        <w:rPr>
          <w:rFonts w:asciiTheme="minorHAnsi" w:hAnsiTheme="minorHAnsi" w:cstheme="minorHAnsi"/>
          <w:color w:val="27344C"/>
          <w:sz w:val="22"/>
        </w:rPr>
        <w:t xml:space="preserve">Se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va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completa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doar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în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etapa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 xml:space="preserve"> de </w:t>
      </w:r>
      <w:proofErr w:type="spellStart"/>
      <w:r w:rsidRPr="00700635">
        <w:rPr>
          <w:rFonts w:asciiTheme="minorHAnsi" w:hAnsiTheme="minorHAnsi" w:cstheme="minorHAnsi"/>
          <w:color w:val="27344C"/>
          <w:sz w:val="22"/>
        </w:rPr>
        <w:t>contractare</w:t>
      </w:r>
      <w:proofErr w:type="spellEnd"/>
      <w:r w:rsidRPr="00700635">
        <w:rPr>
          <w:rFonts w:asciiTheme="minorHAnsi" w:hAnsiTheme="minorHAnsi" w:cstheme="minorHAnsi"/>
          <w:color w:val="27344C"/>
          <w:sz w:val="22"/>
        </w:rPr>
        <w:t>.</w:t>
      </w:r>
    </w:p>
    <w:p w14:paraId="458764AE" w14:textId="272B37D9" w:rsidR="00555964" w:rsidRPr="00700635" w:rsidRDefault="00553DC0" w:rsidP="00553DC0">
      <w:pPr>
        <w:pStyle w:val="BodyText"/>
        <w:tabs>
          <w:tab w:val="left" w:pos="1977"/>
        </w:tabs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  <w:lang w:val="ro-RO"/>
        </w:rPr>
      </w:pPr>
      <w:r w:rsidRPr="00700635">
        <w:rPr>
          <w:rFonts w:asciiTheme="minorHAnsi" w:hAnsiTheme="minorHAnsi" w:cstheme="minorHAnsi"/>
          <w:color w:val="27344C"/>
          <w:sz w:val="22"/>
        </w:rPr>
        <w:tab/>
      </w:r>
    </w:p>
    <w:p w14:paraId="762E3489" w14:textId="77777777" w:rsidR="00555964" w:rsidRPr="00700635" w:rsidRDefault="00555964" w:rsidP="00555964">
      <w:pPr>
        <w:pStyle w:val="BodyText"/>
        <w:snapToGrid w:val="0"/>
        <w:spacing w:before="120"/>
        <w:jc w:val="both"/>
        <w:rPr>
          <w:rFonts w:asciiTheme="minorHAnsi" w:hAnsiTheme="minorHAnsi" w:cstheme="minorHAnsi"/>
          <w:color w:val="27344C"/>
          <w:sz w:val="22"/>
        </w:rPr>
      </w:pPr>
    </w:p>
    <w:p w14:paraId="65A256FD" w14:textId="77777777" w:rsidR="00555964" w:rsidRPr="00700635" w:rsidRDefault="00555964" w:rsidP="00555964">
      <w:pPr>
        <w:spacing w:before="120" w:after="120"/>
        <w:rPr>
          <w:rFonts w:asciiTheme="minorHAnsi" w:hAnsiTheme="minorHAnsi" w:cstheme="minorHAnsi"/>
          <w:bCs/>
          <w:color w:val="27344C"/>
          <w:sz w:val="22"/>
        </w:rPr>
      </w:pPr>
    </w:p>
    <w:p w14:paraId="1BE092A2" w14:textId="066BEB18" w:rsidR="00B06A3B" w:rsidRPr="00700635" w:rsidRDefault="00B06A3B" w:rsidP="00555964">
      <w:pPr>
        <w:rPr>
          <w:rFonts w:asciiTheme="minorHAnsi" w:hAnsiTheme="minorHAnsi" w:cstheme="minorHAnsi"/>
          <w:sz w:val="22"/>
        </w:rPr>
      </w:pPr>
    </w:p>
    <w:sectPr w:rsidR="00B06A3B" w:rsidRPr="00700635" w:rsidSect="00674149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3C54C41A" w:rsidR="001A20F1" w:rsidRDefault="00BF059C">
    <w:pPr>
      <w:pStyle w:val="Footer"/>
    </w:pPr>
    <w:r w:rsidRPr="00BF059C">
      <w:rPr>
        <w:rFonts w:ascii="Calibri" w:eastAsia="Calibri" w:hAnsi="Calibri" w:cs="Times New Roman"/>
        <w:noProof/>
        <w:lang w:val="ro-RO" w:eastAsia="ro-RO"/>
      </w:rPr>
      <w:drawing>
        <wp:inline distT="0" distB="0" distL="0" distR="0" wp14:anchorId="1AF3DF22" wp14:editId="18C3CBFC">
          <wp:extent cx="5649595" cy="675005"/>
          <wp:effectExtent l="0" t="0" r="8255" b="0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59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77092DE" w:rsidR="001A20F1" w:rsidRDefault="00774CD6" w:rsidP="00774CD6">
    <w:pPr>
      <w:pStyle w:val="Header"/>
      <w:tabs>
        <w:tab w:val="clear" w:pos="4680"/>
        <w:tab w:val="clear" w:pos="9360"/>
        <w:tab w:val="left" w:pos="7464"/>
      </w:tabs>
    </w:pPr>
    <w:r>
      <w:rPr>
        <w:noProof/>
      </w:rPr>
      <w:drawing>
        <wp:inline distT="0" distB="0" distL="0" distR="0" wp14:anchorId="7EB1CF8F" wp14:editId="06749996">
          <wp:extent cx="2231390" cy="463550"/>
          <wp:effectExtent l="0" t="0" r="0" 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</w:t>
    </w:r>
    <w:r>
      <w:rPr>
        <w:noProof/>
      </w:rPr>
      <w:drawing>
        <wp:inline distT="0" distB="0" distL="0" distR="0" wp14:anchorId="1DB991E1" wp14:editId="73CDF808">
          <wp:extent cx="603250" cy="603250"/>
          <wp:effectExtent l="0" t="0" r="635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66A7BAC" wp14:editId="740C3861">
          <wp:extent cx="1365885" cy="554990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A2164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" w15:restartNumberingAfterBreak="0">
    <w:nsid w:val="0C52662D"/>
    <w:multiLevelType w:val="hybridMultilevel"/>
    <w:tmpl w:val="3EDE16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7A57"/>
    <w:multiLevelType w:val="hybridMultilevel"/>
    <w:tmpl w:val="954887B0"/>
    <w:lvl w:ilvl="0" w:tplc="D05024F6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" w15:restartNumberingAfterBreak="0">
    <w:nsid w:val="0F81741D"/>
    <w:multiLevelType w:val="hybridMultilevel"/>
    <w:tmpl w:val="CE24B6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51737E"/>
    <w:multiLevelType w:val="hybridMultilevel"/>
    <w:tmpl w:val="962C7AB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B64A5"/>
    <w:multiLevelType w:val="hybridMultilevel"/>
    <w:tmpl w:val="774C1602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83F5B6B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8" w15:restartNumberingAfterBreak="0">
    <w:nsid w:val="196E4ABC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9" w15:restartNumberingAfterBreak="0">
    <w:nsid w:val="1A902E95"/>
    <w:multiLevelType w:val="hybridMultilevel"/>
    <w:tmpl w:val="6E6C8D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71F79"/>
    <w:multiLevelType w:val="hybridMultilevel"/>
    <w:tmpl w:val="A1DABAC8"/>
    <w:lvl w:ilvl="0" w:tplc="308A7BCC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2860" w:hanging="360"/>
      </w:pPr>
    </w:lvl>
    <w:lvl w:ilvl="2" w:tplc="0809001B" w:tentative="1">
      <w:start w:val="1"/>
      <w:numFmt w:val="lowerRoman"/>
      <w:lvlText w:val="%3."/>
      <w:lvlJc w:val="right"/>
      <w:pPr>
        <w:ind w:left="3580" w:hanging="180"/>
      </w:pPr>
    </w:lvl>
    <w:lvl w:ilvl="3" w:tplc="0809000F" w:tentative="1">
      <w:start w:val="1"/>
      <w:numFmt w:val="decimal"/>
      <w:lvlText w:val="%4."/>
      <w:lvlJc w:val="left"/>
      <w:pPr>
        <w:ind w:left="4300" w:hanging="360"/>
      </w:pPr>
    </w:lvl>
    <w:lvl w:ilvl="4" w:tplc="08090019" w:tentative="1">
      <w:start w:val="1"/>
      <w:numFmt w:val="lowerLetter"/>
      <w:lvlText w:val="%5."/>
      <w:lvlJc w:val="left"/>
      <w:pPr>
        <w:ind w:left="5020" w:hanging="360"/>
      </w:pPr>
    </w:lvl>
    <w:lvl w:ilvl="5" w:tplc="0809001B" w:tentative="1">
      <w:start w:val="1"/>
      <w:numFmt w:val="lowerRoman"/>
      <w:lvlText w:val="%6."/>
      <w:lvlJc w:val="right"/>
      <w:pPr>
        <w:ind w:left="5740" w:hanging="180"/>
      </w:pPr>
    </w:lvl>
    <w:lvl w:ilvl="6" w:tplc="0809000F" w:tentative="1">
      <w:start w:val="1"/>
      <w:numFmt w:val="decimal"/>
      <w:lvlText w:val="%7."/>
      <w:lvlJc w:val="left"/>
      <w:pPr>
        <w:ind w:left="6460" w:hanging="360"/>
      </w:pPr>
    </w:lvl>
    <w:lvl w:ilvl="7" w:tplc="08090019" w:tentative="1">
      <w:start w:val="1"/>
      <w:numFmt w:val="lowerLetter"/>
      <w:lvlText w:val="%8."/>
      <w:lvlJc w:val="left"/>
      <w:pPr>
        <w:ind w:left="7180" w:hanging="360"/>
      </w:pPr>
    </w:lvl>
    <w:lvl w:ilvl="8" w:tplc="080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1" w15:restartNumberingAfterBreak="0">
    <w:nsid w:val="21A02C23"/>
    <w:multiLevelType w:val="hybridMultilevel"/>
    <w:tmpl w:val="101C42AA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2C347A36"/>
    <w:multiLevelType w:val="hybridMultilevel"/>
    <w:tmpl w:val="8DD219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87CB6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4" w15:restartNumberingAfterBreak="0">
    <w:nsid w:val="3A051458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5" w15:restartNumberingAfterBreak="0">
    <w:nsid w:val="3A2721F1"/>
    <w:multiLevelType w:val="multilevel"/>
    <w:tmpl w:val="71AC526A"/>
    <w:lvl w:ilvl="0">
      <w:start w:val="1"/>
      <w:numFmt w:val="decimal"/>
      <w:lvlText w:val="%1."/>
      <w:lvlJc w:val="left"/>
      <w:rPr>
        <w:rFonts w:ascii="Montserrat" w:eastAsia="Trebuchet MS" w:hAnsi="Montserrat" w:cs="Trebuchet MS" w:hint="default"/>
        <w:b/>
        <w:bCs/>
        <w:i w:val="0"/>
        <w:iCs w:val="0"/>
        <w:smallCaps w:val="0"/>
        <w:strike w:val="0"/>
        <w:color w:val="27344C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8B679E"/>
    <w:multiLevelType w:val="hybridMultilevel"/>
    <w:tmpl w:val="E098C226"/>
    <w:lvl w:ilvl="0" w:tplc="A9BADE8A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7" w15:restartNumberingAfterBreak="0">
    <w:nsid w:val="41535680"/>
    <w:multiLevelType w:val="hybridMultilevel"/>
    <w:tmpl w:val="774C1602"/>
    <w:lvl w:ilvl="0" w:tplc="FFFFFFFF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C12153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9" w15:restartNumberingAfterBreak="0">
    <w:nsid w:val="510E4E63"/>
    <w:multiLevelType w:val="hybridMultilevel"/>
    <w:tmpl w:val="3B8CE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575D1"/>
    <w:multiLevelType w:val="hybridMultilevel"/>
    <w:tmpl w:val="DB803D5E"/>
    <w:lvl w:ilvl="0" w:tplc="0809000F">
      <w:start w:val="1"/>
      <w:numFmt w:val="decimal"/>
      <w:lvlText w:val="%1."/>
      <w:lvlJc w:val="left"/>
      <w:pPr>
        <w:ind w:left="359" w:hanging="360"/>
      </w:pPr>
    </w:lvl>
    <w:lvl w:ilvl="1" w:tplc="08090019">
      <w:start w:val="1"/>
      <w:numFmt w:val="lowerLetter"/>
      <w:lvlText w:val="%2."/>
      <w:lvlJc w:val="left"/>
      <w:pPr>
        <w:ind w:left="1079" w:hanging="360"/>
      </w:pPr>
    </w:lvl>
    <w:lvl w:ilvl="2" w:tplc="0809001B">
      <w:start w:val="1"/>
      <w:numFmt w:val="lowerRoman"/>
      <w:lvlText w:val="%3."/>
      <w:lvlJc w:val="right"/>
      <w:pPr>
        <w:ind w:left="1799" w:hanging="180"/>
      </w:pPr>
    </w:lvl>
    <w:lvl w:ilvl="3" w:tplc="0809000F">
      <w:start w:val="1"/>
      <w:numFmt w:val="decimal"/>
      <w:lvlText w:val="%4."/>
      <w:lvlJc w:val="left"/>
      <w:pPr>
        <w:ind w:left="2519" w:hanging="360"/>
      </w:pPr>
    </w:lvl>
    <w:lvl w:ilvl="4" w:tplc="08090019">
      <w:start w:val="1"/>
      <w:numFmt w:val="lowerLetter"/>
      <w:lvlText w:val="%5."/>
      <w:lvlJc w:val="left"/>
      <w:pPr>
        <w:ind w:left="3239" w:hanging="360"/>
      </w:pPr>
    </w:lvl>
    <w:lvl w:ilvl="5" w:tplc="0809001B">
      <w:start w:val="1"/>
      <w:numFmt w:val="lowerRoman"/>
      <w:lvlText w:val="%6."/>
      <w:lvlJc w:val="right"/>
      <w:pPr>
        <w:ind w:left="3959" w:hanging="180"/>
      </w:pPr>
    </w:lvl>
    <w:lvl w:ilvl="6" w:tplc="0809000F">
      <w:start w:val="1"/>
      <w:numFmt w:val="decimal"/>
      <w:lvlText w:val="%7."/>
      <w:lvlJc w:val="left"/>
      <w:pPr>
        <w:ind w:left="4679" w:hanging="360"/>
      </w:pPr>
    </w:lvl>
    <w:lvl w:ilvl="7" w:tplc="08090019">
      <w:start w:val="1"/>
      <w:numFmt w:val="lowerLetter"/>
      <w:lvlText w:val="%8."/>
      <w:lvlJc w:val="left"/>
      <w:pPr>
        <w:ind w:left="5399" w:hanging="360"/>
      </w:pPr>
    </w:lvl>
    <w:lvl w:ilvl="8" w:tplc="0809001B">
      <w:start w:val="1"/>
      <w:numFmt w:val="lowerRoman"/>
      <w:lvlText w:val="%9."/>
      <w:lvlJc w:val="right"/>
      <w:pPr>
        <w:ind w:left="6119" w:hanging="180"/>
      </w:pPr>
    </w:lvl>
  </w:abstractNum>
  <w:abstractNum w:abstractNumId="21" w15:restartNumberingAfterBreak="0">
    <w:nsid w:val="6FC34B6E"/>
    <w:multiLevelType w:val="hybridMultilevel"/>
    <w:tmpl w:val="E794B63C"/>
    <w:lvl w:ilvl="0" w:tplc="0809000F">
      <w:start w:val="4"/>
      <w:numFmt w:val="decimal"/>
      <w:lvlText w:val="%1."/>
      <w:lvlJc w:val="left"/>
      <w:pPr>
        <w:ind w:left="-77" w:hanging="360"/>
      </w:pPr>
    </w:lvl>
    <w:lvl w:ilvl="1" w:tplc="08090019">
      <w:start w:val="1"/>
      <w:numFmt w:val="lowerLetter"/>
      <w:lvlText w:val="%2."/>
      <w:lvlJc w:val="left"/>
      <w:pPr>
        <w:ind w:left="643" w:hanging="360"/>
      </w:pPr>
    </w:lvl>
    <w:lvl w:ilvl="2" w:tplc="0809001B">
      <w:start w:val="1"/>
      <w:numFmt w:val="lowerRoman"/>
      <w:lvlText w:val="%3."/>
      <w:lvlJc w:val="right"/>
      <w:pPr>
        <w:ind w:left="1363" w:hanging="180"/>
      </w:pPr>
    </w:lvl>
    <w:lvl w:ilvl="3" w:tplc="0809000F">
      <w:start w:val="1"/>
      <w:numFmt w:val="decimal"/>
      <w:lvlText w:val="%4."/>
      <w:lvlJc w:val="left"/>
      <w:pPr>
        <w:ind w:left="2083" w:hanging="360"/>
      </w:pPr>
    </w:lvl>
    <w:lvl w:ilvl="4" w:tplc="08090019">
      <w:start w:val="1"/>
      <w:numFmt w:val="lowerLetter"/>
      <w:lvlText w:val="%5."/>
      <w:lvlJc w:val="left"/>
      <w:pPr>
        <w:ind w:left="2803" w:hanging="360"/>
      </w:pPr>
    </w:lvl>
    <w:lvl w:ilvl="5" w:tplc="0809001B">
      <w:start w:val="1"/>
      <w:numFmt w:val="lowerRoman"/>
      <w:lvlText w:val="%6."/>
      <w:lvlJc w:val="right"/>
      <w:pPr>
        <w:ind w:left="3523" w:hanging="180"/>
      </w:pPr>
    </w:lvl>
    <w:lvl w:ilvl="6" w:tplc="0809000F">
      <w:start w:val="1"/>
      <w:numFmt w:val="decimal"/>
      <w:lvlText w:val="%7."/>
      <w:lvlJc w:val="left"/>
      <w:pPr>
        <w:ind w:left="4243" w:hanging="360"/>
      </w:pPr>
    </w:lvl>
    <w:lvl w:ilvl="7" w:tplc="08090019">
      <w:start w:val="1"/>
      <w:numFmt w:val="lowerLetter"/>
      <w:lvlText w:val="%8."/>
      <w:lvlJc w:val="left"/>
      <w:pPr>
        <w:ind w:left="4963" w:hanging="360"/>
      </w:pPr>
    </w:lvl>
    <w:lvl w:ilvl="8" w:tplc="0809001B">
      <w:start w:val="1"/>
      <w:numFmt w:val="lowerRoman"/>
      <w:lvlText w:val="%9."/>
      <w:lvlJc w:val="right"/>
      <w:pPr>
        <w:ind w:left="5683" w:hanging="180"/>
      </w:pPr>
    </w:lvl>
  </w:abstractNum>
  <w:abstractNum w:abstractNumId="22" w15:restartNumberingAfterBreak="0">
    <w:nsid w:val="710D41D9"/>
    <w:multiLevelType w:val="hybridMultilevel"/>
    <w:tmpl w:val="29C4AD6C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730A2213"/>
    <w:multiLevelType w:val="hybridMultilevel"/>
    <w:tmpl w:val="DB803D5E"/>
    <w:lvl w:ilvl="0" w:tplc="0809000F">
      <w:start w:val="1"/>
      <w:numFmt w:val="decimal"/>
      <w:lvlText w:val="%1."/>
      <w:lvlJc w:val="left"/>
      <w:pPr>
        <w:ind w:left="-77" w:hanging="360"/>
      </w:pPr>
    </w:lvl>
    <w:lvl w:ilvl="1" w:tplc="08090019">
      <w:start w:val="1"/>
      <w:numFmt w:val="lowerLetter"/>
      <w:lvlText w:val="%2."/>
      <w:lvlJc w:val="left"/>
      <w:pPr>
        <w:ind w:left="643" w:hanging="360"/>
      </w:pPr>
    </w:lvl>
    <w:lvl w:ilvl="2" w:tplc="0809001B">
      <w:start w:val="1"/>
      <w:numFmt w:val="lowerRoman"/>
      <w:lvlText w:val="%3."/>
      <w:lvlJc w:val="right"/>
      <w:pPr>
        <w:ind w:left="1363" w:hanging="180"/>
      </w:pPr>
    </w:lvl>
    <w:lvl w:ilvl="3" w:tplc="0809000F">
      <w:start w:val="1"/>
      <w:numFmt w:val="decimal"/>
      <w:lvlText w:val="%4."/>
      <w:lvlJc w:val="left"/>
      <w:pPr>
        <w:ind w:left="2083" w:hanging="360"/>
      </w:pPr>
    </w:lvl>
    <w:lvl w:ilvl="4" w:tplc="08090019">
      <w:start w:val="1"/>
      <w:numFmt w:val="lowerLetter"/>
      <w:lvlText w:val="%5."/>
      <w:lvlJc w:val="left"/>
      <w:pPr>
        <w:ind w:left="2803" w:hanging="360"/>
      </w:pPr>
    </w:lvl>
    <w:lvl w:ilvl="5" w:tplc="0809001B">
      <w:start w:val="1"/>
      <w:numFmt w:val="lowerRoman"/>
      <w:lvlText w:val="%6."/>
      <w:lvlJc w:val="right"/>
      <w:pPr>
        <w:ind w:left="3523" w:hanging="180"/>
      </w:pPr>
    </w:lvl>
    <w:lvl w:ilvl="6" w:tplc="0809000F">
      <w:start w:val="1"/>
      <w:numFmt w:val="decimal"/>
      <w:lvlText w:val="%7."/>
      <w:lvlJc w:val="left"/>
      <w:pPr>
        <w:ind w:left="4243" w:hanging="360"/>
      </w:pPr>
    </w:lvl>
    <w:lvl w:ilvl="7" w:tplc="08090019">
      <w:start w:val="1"/>
      <w:numFmt w:val="lowerLetter"/>
      <w:lvlText w:val="%8."/>
      <w:lvlJc w:val="left"/>
      <w:pPr>
        <w:ind w:left="4963" w:hanging="360"/>
      </w:pPr>
    </w:lvl>
    <w:lvl w:ilvl="8" w:tplc="0809001B">
      <w:start w:val="1"/>
      <w:numFmt w:val="lowerRoman"/>
      <w:lvlText w:val="%9."/>
      <w:lvlJc w:val="right"/>
      <w:pPr>
        <w:ind w:left="5683" w:hanging="180"/>
      </w:pPr>
    </w:lvl>
  </w:abstractNum>
  <w:abstractNum w:abstractNumId="24" w15:restartNumberingAfterBreak="0">
    <w:nsid w:val="743616A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5" w15:restartNumberingAfterBreak="0">
    <w:nsid w:val="750E708D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11"/>
  </w:num>
  <w:num w:numId="5">
    <w:abstractNumId w:val="6"/>
  </w:num>
  <w:num w:numId="6">
    <w:abstractNumId w:val="17"/>
  </w:num>
  <w:num w:numId="7">
    <w:abstractNumId w:val="9"/>
  </w:num>
  <w:num w:numId="8">
    <w:abstractNumId w:val="2"/>
  </w:num>
  <w:num w:numId="9">
    <w:abstractNumId w:val="3"/>
  </w:num>
  <w:num w:numId="10">
    <w:abstractNumId w:val="16"/>
  </w:num>
  <w:num w:numId="11">
    <w:abstractNumId w:val="1"/>
  </w:num>
  <w:num w:numId="12">
    <w:abstractNumId w:val="24"/>
  </w:num>
  <w:num w:numId="13">
    <w:abstractNumId w:val="18"/>
  </w:num>
  <w:num w:numId="14">
    <w:abstractNumId w:val="7"/>
  </w:num>
  <w:num w:numId="15">
    <w:abstractNumId w:val="13"/>
  </w:num>
  <w:num w:numId="16">
    <w:abstractNumId w:val="14"/>
  </w:num>
  <w:num w:numId="17">
    <w:abstractNumId w:val="25"/>
  </w:num>
  <w:num w:numId="18">
    <w:abstractNumId w:val="8"/>
  </w:num>
  <w:num w:numId="19">
    <w:abstractNumId w:val="12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0"/>
  </w:num>
  <w:num w:numId="26">
    <w:abstractNumId w:val="23"/>
  </w:num>
  <w:num w:numId="27">
    <w:abstractNumId w:val="21"/>
  </w:num>
  <w:num w:numId="28">
    <w:abstractNumId w:val="22"/>
  </w:num>
  <w:num w:numId="2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55507"/>
    <w:rsid w:val="000646B7"/>
    <w:rsid w:val="00065753"/>
    <w:rsid w:val="00083EB8"/>
    <w:rsid w:val="00084A33"/>
    <w:rsid w:val="00092E64"/>
    <w:rsid w:val="000979FF"/>
    <w:rsid w:val="000B041D"/>
    <w:rsid w:val="000B0513"/>
    <w:rsid w:val="000B42E6"/>
    <w:rsid w:val="000B44C3"/>
    <w:rsid w:val="000C0B51"/>
    <w:rsid w:val="000D318B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85ED5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37757"/>
    <w:rsid w:val="00251969"/>
    <w:rsid w:val="00261443"/>
    <w:rsid w:val="0026477B"/>
    <w:rsid w:val="002714DB"/>
    <w:rsid w:val="002A6190"/>
    <w:rsid w:val="002B0503"/>
    <w:rsid w:val="002C3E96"/>
    <w:rsid w:val="002C4DF0"/>
    <w:rsid w:val="002E7A9A"/>
    <w:rsid w:val="003028FF"/>
    <w:rsid w:val="00312D59"/>
    <w:rsid w:val="00314E43"/>
    <w:rsid w:val="003166E0"/>
    <w:rsid w:val="00326F89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37D4"/>
    <w:rsid w:val="0048193B"/>
    <w:rsid w:val="004900D6"/>
    <w:rsid w:val="004944A7"/>
    <w:rsid w:val="004A39D4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3DC0"/>
    <w:rsid w:val="0055586E"/>
    <w:rsid w:val="00555964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155DC"/>
    <w:rsid w:val="00626389"/>
    <w:rsid w:val="0064002A"/>
    <w:rsid w:val="00643689"/>
    <w:rsid w:val="006528E7"/>
    <w:rsid w:val="0066282F"/>
    <w:rsid w:val="006662ED"/>
    <w:rsid w:val="006703FE"/>
    <w:rsid w:val="00672B68"/>
    <w:rsid w:val="00674149"/>
    <w:rsid w:val="00676A98"/>
    <w:rsid w:val="006855EF"/>
    <w:rsid w:val="00692B09"/>
    <w:rsid w:val="006A2C1E"/>
    <w:rsid w:val="006A70E1"/>
    <w:rsid w:val="006B30F3"/>
    <w:rsid w:val="006B3E32"/>
    <w:rsid w:val="006B770A"/>
    <w:rsid w:val="006C03B8"/>
    <w:rsid w:val="006C295C"/>
    <w:rsid w:val="006C3125"/>
    <w:rsid w:val="006E4E39"/>
    <w:rsid w:val="006F14E2"/>
    <w:rsid w:val="006F51A0"/>
    <w:rsid w:val="006F64C4"/>
    <w:rsid w:val="00700635"/>
    <w:rsid w:val="00723AD7"/>
    <w:rsid w:val="00725221"/>
    <w:rsid w:val="00754838"/>
    <w:rsid w:val="00767F84"/>
    <w:rsid w:val="00774CD6"/>
    <w:rsid w:val="00777FC6"/>
    <w:rsid w:val="007852DF"/>
    <w:rsid w:val="007921A2"/>
    <w:rsid w:val="007954AA"/>
    <w:rsid w:val="00796B99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66122"/>
    <w:rsid w:val="00874E0E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5404E"/>
    <w:rsid w:val="00964D8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9F6F19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5BC4"/>
    <w:rsid w:val="00A37981"/>
    <w:rsid w:val="00A503BF"/>
    <w:rsid w:val="00A76C98"/>
    <w:rsid w:val="00A826A5"/>
    <w:rsid w:val="00A8528B"/>
    <w:rsid w:val="00A9156F"/>
    <w:rsid w:val="00AB3ED8"/>
    <w:rsid w:val="00AC463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A1421"/>
    <w:rsid w:val="00BA2FF1"/>
    <w:rsid w:val="00BB4575"/>
    <w:rsid w:val="00BB566B"/>
    <w:rsid w:val="00BF059C"/>
    <w:rsid w:val="00BF1157"/>
    <w:rsid w:val="00C069B0"/>
    <w:rsid w:val="00C11D8E"/>
    <w:rsid w:val="00C144F0"/>
    <w:rsid w:val="00C453F5"/>
    <w:rsid w:val="00C46D4E"/>
    <w:rsid w:val="00C8015A"/>
    <w:rsid w:val="00C811D2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36F0"/>
    <w:rsid w:val="00E05285"/>
    <w:rsid w:val="00E06D9B"/>
    <w:rsid w:val="00E07078"/>
    <w:rsid w:val="00E24C7A"/>
    <w:rsid w:val="00E256F4"/>
    <w:rsid w:val="00E42B28"/>
    <w:rsid w:val="00E5261A"/>
    <w:rsid w:val="00E54D4B"/>
    <w:rsid w:val="00E602F3"/>
    <w:rsid w:val="00E66812"/>
    <w:rsid w:val="00E66F29"/>
    <w:rsid w:val="00E71635"/>
    <w:rsid w:val="00E744DD"/>
    <w:rsid w:val="00E77ED4"/>
    <w:rsid w:val="00E8349A"/>
    <w:rsid w:val="00E85A77"/>
    <w:rsid w:val="00E91F51"/>
    <w:rsid w:val="00E93D7C"/>
    <w:rsid w:val="00E96D06"/>
    <w:rsid w:val="00EA541B"/>
    <w:rsid w:val="00EA5FAA"/>
    <w:rsid w:val="00ED0691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64809"/>
    <w:rsid w:val="00F72872"/>
    <w:rsid w:val="00F74961"/>
    <w:rsid w:val="00F84A73"/>
    <w:rsid w:val="00F96EB3"/>
    <w:rsid w:val="00FB35E8"/>
    <w:rsid w:val="00FD49A5"/>
    <w:rsid w:val="00FD568F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1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  <w:style w:type="paragraph" w:styleId="BodyText">
    <w:name w:val="Body Text"/>
    <w:basedOn w:val="Normal"/>
    <w:link w:val="BodyTextChar"/>
    <w:uiPriority w:val="99"/>
    <w:unhideWhenUsed/>
    <w:rsid w:val="005559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55964"/>
  </w:style>
  <w:style w:type="character" w:customStyle="1" w:styleId="Heading1">
    <w:name w:val="Heading #1_"/>
    <w:basedOn w:val="DefaultParagraphFont"/>
    <w:link w:val="Heading10"/>
    <w:rsid w:val="00555964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555964"/>
    <w:pPr>
      <w:widowControl w:val="0"/>
      <w:shd w:val="clear" w:color="auto" w:fill="FFFFFF"/>
      <w:spacing w:after="160"/>
      <w:ind w:firstLine="7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styleId="Strong">
    <w:name w:val="Strong"/>
    <w:uiPriority w:val="22"/>
    <w:qFormat/>
    <w:rsid w:val="00555964"/>
    <w:rPr>
      <w:b/>
      <w:bCs/>
    </w:rPr>
  </w:style>
  <w:style w:type="table" w:customStyle="1" w:styleId="TableGrid2">
    <w:name w:val="Table Grid2"/>
    <w:basedOn w:val="TableNormal"/>
    <w:uiPriority w:val="39"/>
    <w:rsid w:val="00774CD6"/>
    <w:rPr>
      <w:rFonts w:asciiTheme="minorHAnsi" w:hAnsiTheme="minorHAnsi"/>
      <w:sz w:val="22"/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35BC4"/>
    <w:rPr>
      <w:rFonts w:ascii="Calibri" w:eastAsia="Calibri" w:hAnsi="Calibri" w:cs="Times New Roman"/>
      <w:sz w:val="22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3764</Words>
  <Characters>21455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44</cp:revision>
  <dcterms:created xsi:type="dcterms:W3CDTF">2023-07-14T11:49:00Z</dcterms:created>
  <dcterms:modified xsi:type="dcterms:W3CDTF">2023-12-11T14:26:00Z</dcterms:modified>
</cp:coreProperties>
</file>